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142" w:hanging="142"/>
        <w:spacing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Паспорт </w:t>
      </w:r>
    </w:p>
    <w:p>
      <w:pPr>
        <w:spacing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>инвестиционной площадки</w:t>
      </w:r>
    </w:p>
    <w:p>
      <w:pPr>
        <w:spacing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>Анжеро-Судженск, площадка малоэтажной застройки квартала Озерки</w:t>
      </w:r>
      <w:r>
        <w:rPr>
          <w:rFonts w:ascii="Times New Roman" w:hAnsi="Times New Roman" w:eastAsia="Calibri"/>
          <w:b/>
          <w:sz w:val="28"/>
          <w:szCs w:val="28"/>
          <w:lang w:eastAsia="en-us"/>
        </w:rPr>
      </w:r>
    </w:p>
    <w:p>
      <w:pPr>
        <w:spacing/>
        <w:jc w:val="center"/>
        <w:rPr>
          <w:rFonts w:ascii="Times New Roman" w:hAnsi="Times New Roman" w:eastAsia="Calibri"/>
          <w:bCs/>
          <w:i/>
          <w:iCs/>
          <w:lang w:eastAsia="en-us"/>
        </w:rPr>
      </w:pPr>
      <w:r>
        <w:rPr>
          <w:rFonts w:ascii="Times New Roman" w:hAnsi="Times New Roman" w:eastAsia="Calibri"/>
          <w:bCs/>
          <w:i/>
          <w:iCs/>
          <w:lang w:eastAsia="en-us"/>
        </w:rPr>
        <w:t>Рекомендуемый формат наименования инвестиционной площадки: МО, наименования площадки</w:t>
      </w:r>
      <w:r>
        <w:rPr>
          <w:rFonts w:ascii="Times New Roman" w:hAnsi="Times New Roman" w:eastAsia="Calibri"/>
          <w:bCs/>
          <w:i/>
          <w:iCs/>
          <w:lang w:eastAsia="en-us"/>
        </w:rPr>
      </w:r>
    </w:p>
    <w:tbl>
      <w:tblPr>
        <w:tblStyle w:val="NormalTable"/>
        <w:name w:val="Таблица1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3794"/>
        <w:gridCol w:w="6266"/>
      </w:tblGrid>
      <w:tr>
        <w:trPr>
          <w:tblHeader w:val="0"/>
          <w:cantSplit w:val="0"/>
          <w:trHeight w:val="0" w:hRule="auto"/>
        </w:trPr>
        <w:tc>
          <w:tcPr>
            <w:tcW w:w="37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Название площадки</w:t>
            </w:r>
          </w:p>
        </w:tc>
        <w:tc>
          <w:tcPr>
            <w:tcW w:w="626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Инвестиционная площадка под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eastAsia="Calibri"/>
                <w:lang w:eastAsia="en-us"/>
              </w:rPr>
              <w:t>застройк</w:t>
            </w:r>
            <w:r>
              <w:rPr>
                <w:rFonts w:ascii="Times New Roman" w:hAnsi="Times New Roman" w:eastAsia="Calibri"/>
                <w:lang w:eastAsia="en-us"/>
              </w:rPr>
              <w:t>у</w:t>
            </w:r>
            <w:r>
              <w:rPr>
                <w:rFonts w:ascii="Times New Roman" w:hAnsi="Times New Roman" w:eastAsia="Calibri"/>
                <w:lang w:eastAsia="en-us"/>
              </w:rPr>
              <w:t xml:space="preserve"> малоэтажными жилыми домами</w:t>
            </w:r>
            <w:r>
              <w:rPr>
                <w:rFonts w:ascii="Times New Roman" w:hAnsi="Times New Roman" w:eastAsia="Calibri"/>
                <w:lang w:eastAsia="en-us"/>
              </w:rPr>
              <w:t>( зона –Ж2)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                                                                                    (указывается возможное использование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79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Тип площадки/ функциональное назначение</w:t>
            </w:r>
          </w:p>
        </w:tc>
        <w:tc>
          <w:tcPr>
            <w:tcW w:w="626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0" w:name="Флажок1 1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0"/>
            <w:r>
              <w:rPr>
                <w:rFonts w:ascii="Times New Roman" w:hAnsi="Times New Roman" w:eastAsia="Calibri"/>
                <w:lang w:eastAsia="en-us"/>
              </w:rPr>
              <w:t xml:space="preserve">  административно-торговая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" w:name="Флажок 2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"/>
            <w:r>
              <w:rPr>
                <w:rFonts w:ascii="Times New Roman" w:hAnsi="Times New Roman" w:eastAsia="Calibri"/>
                <w:lang w:eastAsia="en-us"/>
              </w:rPr>
              <w:t xml:space="preserve">  промышленная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2" w:name="Флажок 3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"/>
            <w:r>
              <w:rPr>
                <w:rFonts w:ascii="Times New Roman" w:hAnsi="Times New Roman" w:eastAsia="Calibri"/>
                <w:lang w:eastAsia="en-us"/>
              </w:rPr>
              <w:t xml:space="preserve">  транспортно-логистическая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bookmarkStart w:id="3" w:name="Флажок1"/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4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r>
              <w:rPr>
                <w:rFonts w:ascii="Times New Roman" w:hAnsi="Times New Roman" w:eastAsia="Calibri"/>
                <w:lang w:eastAsia="en-us"/>
              </w:rPr>
            </w:r>
            <w:r/>
            <w:bookmarkEnd w:id="3"/>
            <w:r/>
            <w:r>
              <w:rPr>
                <w:rFonts w:ascii="Times New Roman" w:hAnsi="Times New Roman" w:eastAsia="Calibri"/>
                <w:lang w:eastAsia="en-us"/>
              </w:rPr>
              <w:t xml:space="preserve">  жилищная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5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4" w:name="Флажок 5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4"/>
            <w:r>
              <w:rPr>
                <w:rFonts w:ascii="Times New Roman" w:hAnsi="Times New Roman" w:eastAsia="Calibri"/>
                <w:lang w:eastAsia="en-us"/>
              </w:rPr>
              <w:t xml:space="preserve">  иная _______________</w:t>
            </w:r>
          </w:p>
        </w:tc>
      </w:tr>
    </w:tbl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 xml:space="preserve">1. Положение и окружение инвестиционной площадки </w:t>
      </w:r>
    </w:p>
    <w:tbl>
      <w:tblPr>
        <w:tblStyle w:val="NormalTable"/>
        <w:name w:val="Таблица2"/>
        <w:tabOrder w:val="0"/>
        <w:jc w:val="left"/>
        <w:tblInd w:w="0" w:type="dxa"/>
        <w:tblW w:w="10034" w:type="dxa"/>
        <w:tblLook w:val="04A0" w:firstRow="1" w:lastRow="0" w:firstColumn="1" w:lastColumn="0" w:noHBand="0" w:noVBand="1"/>
      </w:tblPr>
      <w:tblGrid>
        <w:gridCol w:w="3673"/>
        <w:gridCol w:w="6361"/>
      </w:tblGrid>
      <w:tr>
        <w:trPr>
          <w:tblHeader w:val="0"/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Место расположения (адрес)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Кемеровская область, г. Анжеро-Судженск, Южный жилой район, 27 микрорайон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0034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Удаленность от объектов (в км):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- г. Кемерово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94 км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- центра муниципального образования 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6,6км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- автомагистрали (название дороги)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Расстояние по прямой 0,466 км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Расстояние по дорогам общего пользования 0,85 км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наличие автомобильных подъездных путей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6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5" w:name="Флажок 6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5"/>
            <w:r>
              <w:rPr>
                <w:rFonts w:ascii="Times New Roman" w:hAnsi="Times New Roman" w:eastAsia="Calibri"/>
                <w:lang w:eastAsia="en-us"/>
              </w:rPr>
              <w:t xml:space="preserve">  на границе площадки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7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6" w:name="Флажок 7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6"/>
            <w:r>
              <w:rPr>
                <w:rFonts w:ascii="Times New Roman" w:hAnsi="Times New Roman" w:eastAsia="Calibri"/>
                <w:lang w:eastAsia="en-us"/>
              </w:rPr>
              <w:t xml:space="preserve">  на расстоянии _____ км от границы площадки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8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7" w:name="Флажок 8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7"/>
            <w:r>
              <w:rPr>
                <w:rFonts w:ascii="Times New Roman" w:hAnsi="Times New Roman" w:eastAsia="Calibri"/>
                <w:lang w:eastAsia="en-us"/>
              </w:rPr>
              <w:t xml:space="preserve">  нет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9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8" w:name="Флажок 9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8"/>
            <w:r>
              <w:rPr>
                <w:rFonts w:ascii="Times New Roman" w:hAnsi="Times New Roman" w:eastAsia="Calibri"/>
                <w:lang w:eastAsia="en-us"/>
              </w:rPr>
              <w:t xml:space="preserve">  наличие ограничений (нагрузка на ось, высота)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____________________________________________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Вид покрытия автодороги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0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9" w:name="Флажок 10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9"/>
            <w:r>
              <w:rPr>
                <w:rFonts w:ascii="Times New Roman" w:hAnsi="Times New Roman" w:eastAsia="Calibri"/>
                <w:lang w:eastAsia="en-us"/>
              </w:rPr>
              <w:t xml:space="preserve">   асфальтовое покрытие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1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10" w:name="Флажок 11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0"/>
            <w:r>
              <w:rPr>
                <w:rFonts w:ascii="Times New Roman" w:hAnsi="Times New Roman" w:eastAsia="Calibri"/>
                <w:lang w:eastAsia="en-us"/>
              </w:rPr>
              <w:t xml:space="preserve">   грунтовое покрытие 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Иное___________________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Наличие железнодорожной погрузочно – разгрузочной площадки (станции, ее название)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2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1" w:name="Флажок 12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1"/>
            <w:r>
              <w:rPr>
                <w:rFonts w:ascii="Times New Roman" w:hAnsi="Times New Roman" w:eastAsia="Calibri"/>
                <w:lang w:eastAsia="en-us"/>
              </w:rPr>
              <w:t xml:space="preserve">  на границе площадки</w:t>
            </w: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3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2" w:name="Флажок 13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2"/>
            <w:r>
              <w:rPr>
                <w:rFonts w:ascii="Times New Roman" w:hAnsi="Times New Roman" w:eastAsia="Calibri"/>
                <w:lang w:eastAsia="en-us"/>
              </w:rPr>
              <w:t xml:space="preserve"> нет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4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13" w:name="Флажок 14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3"/>
            <w:r>
              <w:rPr>
                <w:rFonts w:ascii="Times New Roman" w:hAnsi="Times New Roman" w:eastAsia="Calibri"/>
                <w:lang w:eastAsia="en-us"/>
              </w:rPr>
              <w:t xml:space="preserve">  на расстоянии 25,5 км от границы площадки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5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4" w:name="Флажок 15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4"/>
            <w:r>
              <w:rPr>
                <w:rFonts w:ascii="Times New Roman" w:hAnsi="Times New Roman" w:eastAsia="Calibri"/>
                <w:lang w:eastAsia="en-us"/>
              </w:rPr>
              <w:t xml:space="preserve">  наличие точки примыкания к ж/д путям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6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5" w:name="Флажок 16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5"/>
            <w:r>
              <w:rPr>
                <w:rFonts w:ascii="Times New Roman" w:hAnsi="Times New Roman" w:eastAsia="Calibri"/>
                <w:lang w:eastAsia="en-us"/>
              </w:rPr>
              <w:t xml:space="preserve">  наличие ж/д тупика на территории площадки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Вместимость вагонов в тупике в шт. 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Общее состояние ж/д ветки _______________________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Текущая пригодность ж/д ветки для приёма вагонов________________________________________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Необходимость ремонта (да/нет)_________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Наименование близлежащей станции _______________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Пропускная способность (вагонов в сутки / в месяц)          в шт. _____/_______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Загруженность в %_________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Возможность передачи на баланс инвестора ж/д ветки в случае приобретения площадки____________________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Удаленность от аэропорта (название)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109,2км Название аэропорта Международный аэропорт Кемерово им. А.А. Леонова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Удаленность от полигонов размещения отходов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9.4 км. № полигона в ГРОРО 42-00322-З-00552-070715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Рельеф поверхности (ровная, наклонная, террасная, уступами)</w:t>
            </w:r>
          </w:p>
        </w:tc>
        <w:tc>
          <w:tcPr>
            <w:tcW w:w="636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Ровная </w:t>
            </w:r>
          </w:p>
        </w:tc>
      </w:tr>
    </w:tbl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2. Правовой статус инвестиционной площадки</w:t>
      </w:r>
    </w:p>
    <w:tbl>
      <w:tblPr>
        <w:tblStyle w:val="NormalTable"/>
        <w:name w:val="Таблица3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>
        <w:trPr>
          <w:tblHeader w:val="0"/>
          <w:cantSplit w:val="0"/>
          <w:trHeight w:val="0" w:hRule="auto"/>
        </w:trPr>
        <w:tc>
          <w:tcPr>
            <w:tcW w:w="38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Вид собственности</w:t>
            </w:r>
          </w:p>
        </w:tc>
        <w:tc>
          <w:tcPr>
            <w:tcW w:w="62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7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16" w:name="Флажок 17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6"/>
            <w:r>
              <w:rPr>
                <w:rFonts w:ascii="Times New Roman" w:hAnsi="Times New Roman" w:eastAsia="Calibri"/>
                <w:lang w:eastAsia="en-us"/>
              </w:rPr>
              <w:t xml:space="preserve">  муниципальная собственность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8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7" w:name="Флажок 18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7"/>
            <w:r>
              <w:rPr>
                <w:rFonts w:ascii="Times New Roman" w:hAnsi="Times New Roman" w:eastAsia="Calibri"/>
                <w:lang w:eastAsia="en-us"/>
              </w:rPr>
              <w:t xml:space="preserve">  собственность Кемеровской области - Кузбасса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19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8" w:name="Флажок 19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8"/>
            <w:r>
              <w:rPr>
                <w:rFonts w:ascii="Times New Roman" w:hAnsi="Times New Roman" w:eastAsia="Calibri"/>
                <w:lang w:eastAsia="en-us"/>
              </w:rPr>
              <w:t xml:space="preserve">  собственность Российской Федерации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0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19" w:name="Флажок 20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19"/>
            <w:r>
              <w:rPr>
                <w:rFonts w:ascii="Times New Roman" w:hAnsi="Times New Roman" w:eastAsia="Calibri"/>
                <w:lang w:eastAsia="en-us"/>
              </w:rPr>
              <w:t xml:space="preserve">  частная собственность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1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20" w:name="Флажок 21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0"/>
            <w:r>
              <w:rPr>
                <w:rFonts w:ascii="Times New Roman" w:hAnsi="Times New Roman" w:eastAsia="Calibri"/>
                <w:lang w:eastAsia="en-us"/>
              </w:rPr>
              <w:t>  собственность на земельный участок не разграничена</w:t>
            </w:r>
          </w:p>
        </w:tc>
      </w:tr>
      <w:tr>
        <w:trPr>
          <w:tblHeader w:val="0"/>
          <w:cantSplit w:val="0"/>
          <w:trHeight w:val="2895" w:hRule="atLeast"/>
        </w:trPr>
        <w:tc>
          <w:tcPr>
            <w:tcW w:w="38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Категория земель</w:t>
            </w:r>
          </w:p>
        </w:tc>
        <w:tc>
          <w:tcPr>
            <w:tcW w:w="62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2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21" w:name="Флажок 22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1"/>
            <w:r>
              <w:rPr>
                <w:rFonts w:ascii="Times New Roman" w:hAnsi="Times New Roman" w:eastAsia="Calibri"/>
                <w:lang w:eastAsia="en-us"/>
              </w:rPr>
              <w:t xml:space="preserve">  земли населенных пунктов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3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22" w:name="Флажок 23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2"/>
            <w:r>
              <w:rPr>
                <w:rFonts w:ascii="Times New Roman" w:hAnsi="Times New Roman" w:eastAsia="Calibri"/>
                <w:lang w:eastAsia="en-us"/>
              </w:rPr>
              <w:t>  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4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23" w:name="Флажок 24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3"/>
            <w:r>
              <w:rPr>
                <w:rFonts w:ascii="Times New Roman" w:hAnsi="Times New Roman" w:eastAsia="Calibri"/>
                <w:lang w:eastAsia="en-us"/>
              </w:rPr>
              <w:t xml:space="preserve">  земли сельскохозяйственного назначения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5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24" w:name="Флажок 25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4"/>
            <w:r>
              <w:rPr>
                <w:rFonts w:ascii="Times New Roman" w:hAnsi="Times New Roman" w:eastAsia="Calibri"/>
                <w:lang w:eastAsia="en-us"/>
              </w:rPr>
              <w:t xml:space="preserve">  земли особо охраняемых территорий и объектов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6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25" w:name="Флажок 26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5"/>
            <w:r>
              <w:rPr>
                <w:rFonts w:ascii="Times New Roman" w:hAnsi="Times New Roman" w:eastAsia="Calibri"/>
                <w:lang w:eastAsia="en-us"/>
              </w:rPr>
              <w:t xml:space="preserve">  земли лесного фонда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7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26" w:name="Флажок 27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6"/>
            <w:r>
              <w:rPr>
                <w:rFonts w:ascii="Times New Roman" w:hAnsi="Times New Roman" w:eastAsia="Calibri"/>
                <w:lang w:eastAsia="en-us"/>
              </w:rPr>
              <w:t xml:space="preserve">  земли водного фонда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8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27" w:name="Флажок 28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7"/>
            <w:r>
              <w:rPr>
                <w:rFonts w:ascii="Times New Roman" w:hAnsi="Times New Roman" w:eastAsia="Calibri"/>
                <w:lang w:eastAsia="en-us"/>
              </w:rPr>
              <w:t xml:space="preserve">  земли запаса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8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Межевание земельного участка</w:t>
            </w:r>
          </w:p>
        </w:tc>
        <w:tc>
          <w:tcPr>
            <w:tcW w:w="62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29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28" w:name="Флажок 29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8"/>
            <w:r>
              <w:rPr>
                <w:rFonts w:ascii="Times New Roman" w:hAnsi="Times New Roman" w:eastAsia="Calibri"/>
                <w:lang w:eastAsia="en-us"/>
              </w:rPr>
              <w:t xml:space="preserve">  проведено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0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29" w:name="Флажок 30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29"/>
            <w:r>
              <w:rPr>
                <w:rFonts w:ascii="Times New Roman" w:hAnsi="Times New Roman" w:eastAsia="Calibri"/>
                <w:lang w:eastAsia="en-us"/>
              </w:rPr>
              <w:t xml:space="preserve">  не проведено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82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Кадастровый номер </w:t>
            </w:r>
          </w:p>
        </w:tc>
        <w:tc>
          <w:tcPr>
            <w:tcW w:w="62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42:20:0103077:738</w:t>
            </w:r>
          </w:p>
        </w:tc>
      </w:tr>
    </w:tbl>
    <w:p>
      <w:pPr>
        <w:ind w:left="714"/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contextual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 xml:space="preserve">3. Характеристика территории инвестиционной площадки </w:t>
      </w:r>
    </w:p>
    <w:tbl>
      <w:tblPr>
        <w:tblStyle w:val="NormalTable"/>
        <w:name w:val="Таблица4"/>
        <w:tabOrder w:val="0"/>
        <w:jc w:val="left"/>
        <w:tblInd w:w="0" w:type="dxa"/>
        <w:tblW w:w="10044" w:type="dxa"/>
        <w:tblLook w:val="04A0" w:firstRow="1" w:lastRow="0" w:firstColumn="1" w:lastColumn="0" w:noHBand="0" w:noVBand="1"/>
      </w:tblPr>
      <w:tblGrid>
        <w:gridCol w:w="4388"/>
        <w:gridCol w:w="5656"/>
      </w:tblGrid>
      <w:tr>
        <w:trPr>
          <w:tblHeader w:val="0"/>
          <w:cantSplit w:val="0"/>
          <w:trHeight w:val="278" w:hRule="atLeast"/>
        </w:trPr>
        <w:tc>
          <w:tcPr>
            <w:tcW w:w="43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Площадь, в га</w:t>
            </w:r>
          </w:p>
        </w:tc>
        <w:tc>
          <w:tcPr>
            <w:tcW w:w="56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ind w:firstLine="708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6,8 </w:t>
            </w:r>
          </w:p>
        </w:tc>
      </w:tr>
      <w:tr>
        <w:trPr>
          <w:tblHeader w:val="0"/>
          <w:cantSplit w:val="0"/>
          <w:trHeight w:val="588" w:hRule="atLeast"/>
        </w:trPr>
        <w:tc>
          <w:tcPr>
            <w:tcW w:w="43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Возможность расширения</w:t>
            </w:r>
          </w:p>
        </w:tc>
        <w:tc>
          <w:tcPr>
            <w:tcW w:w="56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1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30" w:name="Флажок 31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30"/>
            <w:r>
              <w:rPr>
                <w:rFonts w:ascii="Times New Roman" w:hAnsi="Times New Roman" w:eastAsia="Calibri"/>
                <w:lang w:eastAsia="en-us"/>
              </w:rPr>
              <w:t xml:space="preserve">  есть (до 7,4 га)</w:t>
            </w:r>
          </w:p>
          <w:p>
            <w:pPr>
              <w:ind w:left="360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2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31" w:name="Флажок 32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31"/>
            <w:r>
              <w:rPr>
                <w:rFonts w:ascii="Times New Roman" w:hAnsi="Times New Roman" w:eastAsia="Calibri"/>
                <w:lang w:eastAsia="en-us"/>
              </w:rPr>
              <w:t xml:space="preserve">  нет</w:t>
            </w:r>
          </w:p>
        </w:tc>
      </w:tr>
      <w:tr>
        <w:trPr>
          <w:tblHeader w:val="0"/>
          <w:cantSplit w:val="0"/>
          <w:trHeight w:val="1127" w:hRule="atLeast"/>
        </w:trPr>
        <w:tc>
          <w:tcPr>
            <w:tcW w:w="43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Стоимость ориентировочная, тыс.руб.</w:t>
            </w:r>
            <w:r>
              <w:rPr>
                <w:rFonts w:ascii="Times New Roman" w:hAnsi="Times New Roman" w:eastAsia="Calibri"/>
                <w:lang w:val="en-us" w:eastAsia="en-us"/>
              </w:rPr>
            </w:r>
          </w:p>
        </w:tc>
        <w:tc>
          <w:tcPr>
            <w:tcW w:w="565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Приобретения 20 786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Аренды в месяц 25 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val="en-us" w:eastAsia="en-us"/>
              </w:rPr>
            </w:pPr>
            <w:r>
              <w:rPr>
                <w:rFonts w:ascii="Times New Roman" w:hAnsi="Times New Roman" w:eastAsia="Calibri"/>
                <w:lang w:val="en-us" w:eastAsia="en-us"/>
              </w:rPr>
            </w:r>
          </w:p>
        </w:tc>
      </w:tr>
      <w:tr>
        <w:trPr>
          <w:tblHeader w:val="0"/>
          <w:cantSplit w:val="0"/>
          <w:trHeight w:val="1698" w:hRule="atLeast"/>
        </w:trPr>
        <w:tc>
          <w:tcPr>
            <w:tcW w:w="437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Возможные меры поддержки</w:t>
            </w:r>
          </w:p>
        </w:tc>
        <w:tc>
          <w:tcPr>
            <w:tcW w:w="56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3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32" w:name="Флажок 33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32"/>
            <w:r>
              <w:rPr>
                <w:rFonts w:ascii="Times New Roman" w:hAnsi="Times New Roman" w:eastAsia="Calibri"/>
                <w:lang w:eastAsia="en-us"/>
              </w:rPr>
              <w:t xml:space="preserve"> ТОСЭР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4"/>
                  <w:enabled/>
                  <w:calcOnExit w:val="0"/>
                  <w:checkBox>
                    <w:sizeAuto/>
                    <w:checked w:val="0"/>
                  </w:checkBox>
                  <w:dim/>
                </w:ffData>
              </w:fldChar>
            </w:r>
            <w:bookmarkStart w:id="33" w:name="Флажок 34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33"/>
            <w:r>
              <w:rPr>
                <w:rFonts w:ascii="Times New Roman" w:hAnsi="Times New Roman" w:eastAsia="Calibri"/>
                <w:lang w:eastAsia="en-us"/>
              </w:rPr>
              <w:t>ОЭЗ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5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34" w:name="Флажок 35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34"/>
            <w:r>
              <w:rPr>
                <w:rFonts w:ascii="Times New Roman" w:hAnsi="Times New Roman" w:eastAsia="Calibri"/>
                <w:lang w:eastAsia="en-us"/>
              </w:rPr>
              <w:t xml:space="preserve"> ФРМ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fldChar w:fldCharType="begin">
                <w:ffData>
                  <w:name w:val="Флажок 36"/>
                  <w:enabled/>
                  <w:calcOnExit w:val="0"/>
                  <w:checkBox>
                    <w:sizeAuto/>
                    <w:checked w:val="1"/>
                  </w:checkBox>
                  <w:dim/>
                </w:ffData>
              </w:fldChar>
            </w:r>
            <w:bookmarkStart w:id="35" w:name="Флажок 36"/>
            <w:r>
              <w:rPr>
                <w:rFonts w:ascii="Times New Roman" w:hAnsi="Times New Roman" w:eastAsia="Calibri"/>
                <w:lang w:eastAsia="en-us"/>
              </w:rPr>
              <w:instrText xml:space="preserve"> FORMCHECKBOX </w:instrTex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  <w:fldChar w:fldCharType="end"/>
            </w:r>
            <w:bookmarkEnd w:id="35"/>
            <w:r>
              <w:rPr>
                <w:rFonts w:ascii="Times New Roman" w:hAnsi="Times New Roman" w:eastAsia="Calibri"/>
                <w:lang w:eastAsia="en-us"/>
              </w:rPr>
              <w:t xml:space="preserve">Другие МКК Госфонд Кемеровской области </w:t>
            </w:r>
          </w:p>
        </w:tc>
      </w:tr>
    </w:tbl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spacing/>
        <w:jc w:val="both"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4. Характеристика инженерной инфраструктуры инвестиционной площадки*</w:t>
      </w:r>
    </w:p>
    <w:tbl>
      <w:tblPr>
        <w:tblStyle w:val="NormalTable"/>
        <w:name w:val="Таблица5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1384"/>
        <w:gridCol w:w="851"/>
        <w:gridCol w:w="1134"/>
        <w:gridCol w:w="1275"/>
        <w:gridCol w:w="1418"/>
        <w:gridCol w:w="1134"/>
        <w:gridCol w:w="992"/>
        <w:gridCol w:w="1872"/>
      </w:tblGrid>
      <w:tr>
        <w:trPr>
          <w:tblHeader w:val="0"/>
          <w:cantSplit w:val="0"/>
          <w:trHeight w:val="270" w:hRule="atLeast"/>
        </w:trPr>
        <w:tc>
          <w:tcPr>
            <w:tcW w:w="138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ind w:left="-108"/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Вид инфраструктуры</w:t>
            </w:r>
          </w:p>
        </w:tc>
        <w:tc>
          <w:tcPr>
            <w:tcW w:w="851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2409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Мощность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Расстояние от границы площадки до точки подключения/</w:t>
            </w:r>
          </w:p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присоединения, км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Стоимость подключения к ресурсу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Стоимость ресурса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jc w:val="both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Поставщик ресурса</w:t>
            </w:r>
          </w:p>
        </w:tc>
      </w:tr>
      <w:tr>
        <w:trPr>
          <w:tblHeader w:val="0"/>
          <w:cantSplit w:val="0"/>
          <w:trHeight w:val="222" w:hRule="atLeast"/>
        </w:trPr>
        <w:tc>
          <w:tcPr>
            <w:tcW w:w="138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/>
        </w:tc>
        <w:tc>
          <w:tcPr>
            <w:tcW w:w="851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/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Существующая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Доступная к подведению 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</w:tr>
      <w:tr>
        <w:trPr>
          <w:tblHeader w:val="0"/>
          <w:cantSplit w:val="0"/>
          <w:trHeight w:val="276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Газ 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/час 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</w:tr>
      <w:tr>
        <w:trPr>
          <w:tblHeader w:val="0"/>
          <w:cantSplit w:val="0"/>
          <w:trHeight w:val="334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Теплоснабжение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Гкал/час 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-</w:t>
            </w:r>
          </w:p>
        </w:tc>
      </w:tr>
      <w:tr>
        <w:trPr>
          <w:tblHeader w:val="0"/>
          <w:cantSplit w:val="0"/>
          <w:trHeight w:val="289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Электроэнергия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кВт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РП-7,2х400кВа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ТП-212,400кВа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930(без учета строительства новых тп)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Не далее 15 метров во внешнюю сторону от границы участка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Стоимость определяется согласно договора на тех.присоединение 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11,26-11,64</w:t>
            </w:r>
          </w:p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руб./кВтч</w:t>
            </w:r>
          </w:p>
        </w:tc>
        <w:tc>
          <w:tcPr>
            <w:tcW w:w="187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ПАО "Кузбассэнергосбыт"</w:t>
            </w:r>
          </w:p>
        </w:tc>
      </w:tr>
      <w:tr>
        <w:trPr>
          <w:tblHeader w:val="0"/>
          <w:cantSplit w:val="0"/>
          <w:trHeight w:val="280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Водоснабжение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/час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Диаметр водопроводной линии – Ø200мм. Гарантированный напор линии водоснабжения – 1,4атм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Диаметр водопроводной линии – Ø200мм. Гарантированный напор линии водоснабжения – 1,4атм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0,122 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/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Стоимость определяется согласно договора на тех.присоединение </w:t>
            </w:r>
            <w:r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60,37</w:t>
            </w:r>
          </w:p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руб./куб.м.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ООО «Чистая вода»</w:t>
            </w:r>
          </w:p>
        </w:tc>
      </w:tr>
      <w:tr>
        <w:trPr>
          <w:tblHeader w:val="0"/>
          <w:cantSplit w:val="0"/>
          <w:trHeight w:val="264" w:hRule="atLeast"/>
        </w:trPr>
        <w:tc>
          <w:tcPr>
            <w:tcW w:w="13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Водоотведение</w:t>
            </w:r>
          </w:p>
        </w:tc>
        <w:tc>
          <w:tcPr>
            <w:tcW w:w="8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/час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Диаметр линии водоотведения – Ø150мм.</w:t>
            </w:r>
          </w:p>
        </w:tc>
        <w:tc>
          <w:tcPr>
            <w:tcW w:w="12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Диаметр линии водоотведения – Ø150мм.</w:t>
            </w:r>
          </w:p>
        </w:tc>
        <w:tc>
          <w:tcPr>
            <w:tcW w:w="14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0,221</w:t>
            </w:r>
          </w:p>
        </w:tc>
        <w:tc>
          <w:tcPr>
            <w:tcW w:w="113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/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 xml:space="preserve">Стоимость определяется согласно договора на тех.присоединение </w:t>
            </w:r>
            <w:r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49,98</w:t>
            </w:r>
          </w:p>
        </w:tc>
        <w:tc>
          <w:tcPr>
            <w:tcW w:w="18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pStyle w:val="para0"/>
              <w:ind w:left="0" w:right="0" w:firstLine="0"/>
              <w:spacing w:before="0" w:after="0"/>
              <w:jc w:val="left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ООО «Чистая вода»</w:t>
            </w:r>
          </w:p>
        </w:tc>
      </w:tr>
    </w:tbl>
    <w:p>
      <w:pPr>
        <w:rPr>
          <w:rFonts w:ascii="Times New Roman" w:hAnsi="Times New Roman" w:eastAsia="Calibri"/>
          <w:b/>
          <w:sz w:val="20"/>
          <w:lang w:eastAsia="en-us"/>
        </w:rPr>
      </w:pPr>
      <w:r>
        <w:rPr>
          <w:rFonts w:ascii="Times New Roman" w:hAnsi="Times New Roman" w:eastAsia="Calibri"/>
          <w:b/>
          <w:sz w:val="20"/>
          <w:lang w:eastAsia="en-us"/>
        </w:rPr>
        <w:t>*данные носят ориентировочный характер, точные данные будут предоставлены при заключении договора на технологическое присоединение</w:t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5. Основные параметры расположенных на площадке зданий и сооружений</w:t>
      </w:r>
      <w:r>
        <w:rPr>
          <w:rFonts w:ascii="Times New Roman" w:hAnsi="Times New Roman" w:eastAsia="Calibri"/>
          <w:b/>
          <w:vertAlign w:val="superscript"/>
          <w:lang w:eastAsia="en-us"/>
        </w:rPr>
      </w:r>
      <w:r>
        <w:rPr>
          <w:rFonts w:ascii="Times New Roman" w:hAnsi="Times New Roman" w:eastAsia="Calibri"/>
          <w:b/>
          <w:vertAlign w:val="superscript"/>
          <w:lang w:eastAsia="en-us"/>
        </w:rPr>
        <w:footnoteReference w:id="37"/>
      </w:r>
      <w:r>
        <w:rPr>
          <w:rFonts w:ascii="Times New Roman" w:hAnsi="Times New Roman" w:eastAsia="Calibri"/>
          <w:b/>
          <w:lang w:eastAsia="en-us"/>
        </w:rPr>
        <w:t xml:space="preserve">: </w:t>
      </w:r>
    </w:p>
    <w:tbl>
      <w:tblPr>
        <w:tblStyle w:val="NormalTable"/>
        <w:name w:val="Таблица6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992"/>
        <w:gridCol w:w="992"/>
        <w:gridCol w:w="804"/>
        <w:gridCol w:w="1181"/>
        <w:gridCol w:w="992"/>
        <w:gridCol w:w="1276"/>
        <w:gridCol w:w="1163"/>
      </w:tblGrid>
      <w:tr>
        <w:trPr>
          <w:tblHeader w:val="0"/>
          <w:cantSplit w:val="0"/>
          <w:trHeight w:val="0" w:hRule="auto"/>
        </w:trPr>
        <w:tc>
          <w:tcPr>
            <w:tcW w:w="11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Наименование здания/</w:t>
            </w:r>
          </w:p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сооружения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Площадь, м</w:t>
            </w:r>
            <w:r>
              <w:rPr>
                <w:rFonts w:ascii="Times New Roman" w:hAnsi="Times New Roman" w:eastAsia="Calibri"/>
                <w:sz w:val="16"/>
                <w:szCs w:val="16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Этажность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Степень завершенности в %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Год постройки, оценка текущего состояния</w:t>
            </w:r>
          </w:p>
        </w:tc>
        <w:tc>
          <w:tcPr>
            <w:tcW w:w="8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Высота этажа, м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11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Строительный материал конструкции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Состояние, степень износа, %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Возможность расширения</w:t>
            </w: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r>
          </w:p>
        </w:tc>
        <w:tc>
          <w:tcPr>
            <w:tcW w:w="116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lang w:eastAsia="en-us"/>
              </w:rPr>
              <w:t>Использование в настоящее время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1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contextualSpacing/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eastAsia="Calibri"/>
                <w:b/>
                <w:i/>
                <w:sz w:val="16"/>
                <w:szCs w:val="16"/>
                <w:lang w:eastAsia="en-us"/>
              </w:rPr>
              <w:t>-</w:t>
            </w:r>
          </w:p>
        </w:tc>
      </w:tr>
    </w:tbl>
    <w:p>
      <w:pPr>
        <w:ind w:left="714"/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tabs defTabSz="708">
          <w:tab w:val="left" w:pos="851" w:leader="none"/>
        </w:tabs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6. Характеристика доступной ресурсно-сырьевой базы</w:t>
      </w:r>
      <w:r>
        <w:rPr>
          <w:rFonts w:ascii="Times New Roman" w:hAnsi="Times New Roman" w:eastAsia="Calibri"/>
          <w:b/>
          <w:vertAlign w:val="superscript"/>
          <w:lang w:eastAsia="en-us"/>
        </w:rPr>
      </w:r>
      <w:r>
        <w:rPr>
          <w:rFonts w:ascii="Times New Roman" w:hAnsi="Times New Roman" w:eastAsia="Calibri"/>
          <w:b/>
          <w:vertAlign w:val="superscript"/>
          <w:lang w:eastAsia="en-us"/>
        </w:rPr>
        <w:footnoteReference w:id="38"/>
      </w:r>
      <w:r>
        <w:rPr>
          <w:rFonts w:ascii="Times New Roman" w:hAnsi="Times New Roman" w:eastAsia="Calibri"/>
          <w:b/>
          <w:lang w:eastAsia="en-us"/>
        </w:rPr>
      </w:r>
    </w:p>
    <w:tbl>
      <w:tblPr>
        <w:tblStyle w:val="NormalTable"/>
        <w:name w:val="Таблица7"/>
        <w:tabOrder w:val="0"/>
        <w:tblpPr w:horzAnchor="margin" w:vertAnchor="text" w:tblpY="83" w:leftFromText="180" w:rightFromText="180" w:topFromText="0" w:bottomFromText="160"/>
        <w:tblOverlap w:val="never"/>
        <w:jc w:val="left"/>
        <w:tblInd w:w="0" w:type="dxa"/>
        <w:tblW w:w="10065" w:type="dxa"/>
        <w:tblLook w:val="04A0" w:firstRow="1" w:lastRow="0" w:firstColumn="1" w:lastColumn="0" w:noHBand="0" w:noVBand="1"/>
      </w:tblPr>
      <w:tblGrid>
        <w:gridCol w:w="1527"/>
        <w:gridCol w:w="2836"/>
        <w:gridCol w:w="1844"/>
        <w:gridCol w:w="3858"/>
      </w:tblGrid>
      <w:tr>
        <w:trPr>
          <w:tblHeader w:val="0"/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Вид ресурсов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Величина разведанных/ подтвержденных запасов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Статус месторождения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Расстояние от границы площадки до месторождения, км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каменный уголь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геологические запасы более 1,5 млрд. тонн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месторожде</w:t>
              <w:softHyphen/>
              <w:t>ния Яшкинского и Кемеровского районов, от р. Кайгур до г. Анжеро-Судженска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700" w:hRule="atLeast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алюминиевые руды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более 10 млрд. тонн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Барзасское месторождение (Единисский, Суховский, Глухаринский, Гавриловский, Золото-Китатский участки, на территории Кемеровского, Яйского и Ижморского районов, от р. Барзас до р. Золотой Китат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железная руда (магнетитовая)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более 500 млн. тонн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междуречье р. Алчедат и р. Золотой Китат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кварциты Антоновской группы месторождений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промышленно оцененные запасы составляют 0,5 млрд. тонн;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 xml:space="preserve">Пгт. Рудничный 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бурый уголь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запасы около 2,0 млн. тонн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(Китатское месторождение, террито</w:t>
              <w:softHyphen/>
              <w:t>рия Яйского района, по реке Китат между пос. Улановка и пос. Вознесенка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марганцевая руда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82,9 млн. тонн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территория Ижморского и Верх-Чебулинского районов, от р. Кайгагат до р. Заломная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диабазы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запасы 3,68 млн. м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территория Кемеровского района, Васильевское месторождение (недалеко от пос. Барзас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глины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имеет запасы категории В - 66 млн. тонн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расположено в 9 км от ст. Анжерская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2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минеральные краски</w:t>
            </w:r>
            <w:r>
              <w:rPr>
                <w:rFonts w:ascii="Times New Roman" w:hAnsi="Times New Roman"/>
              </w:rPr>
            </w:r>
          </w:p>
        </w:tc>
        <w:tc>
          <w:tcPr>
            <w:tcW w:w="28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месторождения Баранцовское (160 т. тн); Тайгинское (2246 т.тн); Халдеевское (25 т.тн.);</w:t>
            </w:r>
            <w:r>
              <w:rPr>
                <w:rFonts w:ascii="Times New Roman" w:hAnsi="Times New Roman"/>
              </w:rPr>
            </w:r>
          </w:p>
        </w:tc>
        <w:tc>
          <w:tcPr>
            <w:tcW w:w="184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385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 w:line="257" w:lineRule="auto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en-us"/>
              </w:rPr>
              <w:t>территория Яйского, Яшкинского районов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</w:tbl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7. Трудовые ресурсы</w:t>
      </w:r>
    </w:p>
    <w:tbl>
      <w:tblPr>
        <w:tblStyle w:val="NormalTable"/>
        <w:name w:val="Таблица8"/>
        <w:tabOrder w:val="0"/>
        <w:jc w:val="left"/>
        <w:tblInd w:w="-5" w:type="dxa"/>
        <w:tblW w:w="10065" w:type="dxa"/>
        <w:pPr>
          <w:ind w:left="-5"/>
        </w:pPr>
        <w:tblLook w:val="0000" w:firstRow="0" w:lastRow="0" w:firstColumn="0" w:lastColumn="0" w:noHBand="0" w:noVBand="0"/>
      </w:tblPr>
      <w:tblGrid>
        <w:gridCol w:w="4395"/>
        <w:gridCol w:w="5670"/>
      </w:tblGrid>
      <w:tr>
        <w:trPr>
          <w:tblHeader w:val="0"/>
          <w:cantSplit w:val="0"/>
          <w:trHeight w:val="0" w:hRule="auto"/>
        </w:trPr>
        <w:tc>
          <w:tcPr>
            <w:tcW w:w="439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Численность населения, проживающего в ближайшем населенном пункте, человек</w:t>
            </w:r>
          </w:p>
        </w:tc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pStyle w:val="para0"/>
              <w:ind w:left="0" w:right="0" w:firstLine="0"/>
              <w:spacing w:before="0" w:after="0"/>
              <w:jc w:val="center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68275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95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jc w:val="center"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 том числе трудоспособного населения, человек</w:t>
            </w:r>
          </w:p>
        </w:tc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pStyle w:val="para0"/>
              <w:ind w:left="0" w:right="0" w:firstLine="0"/>
              <w:spacing w:before="0" w:after="0"/>
              <w:jc w:val="center"/>
              <w:widowControl/>
              <w:tabs defTabSz="708"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38376</w:t>
            </w:r>
          </w:p>
        </w:tc>
      </w:tr>
    </w:tbl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</w:r>
    </w:p>
    <w:p>
      <w:pPr>
        <w:contextualSpacing/>
        <w:rPr>
          <w:rFonts w:ascii="Times New Roman" w:hAnsi="Times New Roman" w:eastAsia="Calibri"/>
          <w:b/>
          <w:lang w:eastAsia="en-us"/>
        </w:rPr>
      </w:pPr>
      <w:r>
        <w:rPr>
          <w:rFonts w:ascii="Times New Roman" w:hAnsi="Times New Roman" w:eastAsia="Calibri"/>
          <w:b/>
          <w:lang w:eastAsia="en-us"/>
        </w:rPr>
        <w:t>8. Сведения о владельце (собственнике) площадки:</w:t>
      </w:r>
    </w:p>
    <w:tbl>
      <w:tblPr>
        <w:tblStyle w:val="NormalTable"/>
        <w:name w:val="Таблица9"/>
        <w:tabOrder w:val="0"/>
        <w:jc w:val="left"/>
        <w:tblInd w:w="0" w:type="dxa"/>
        <w:tblW w:w="10060" w:type="dxa"/>
        <w:tblLook w:val="04A0" w:firstRow="1" w:lastRow="0" w:firstColumn="1" w:lastColumn="0" w:noHBand="0" w:noVBand="1"/>
      </w:tblPr>
      <w:tblGrid>
        <w:gridCol w:w="4390"/>
        <w:gridCol w:w="5670"/>
      </w:tblGrid>
      <w:tr>
        <w:trPr>
          <w:tblHeader w:val="0"/>
          <w:cantSplit w:val="0"/>
          <w:trHeight w:val="0" w:hRule="auto"/>
        </w:trPr>
        <w:tc>
          <w:tcPr>
            <w:tcW w:w="1006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Владелец (собственник)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Наименование предприятия/ Ф.И.О.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КУМИ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Юридический адрес: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Кемеровская область, город Анжеро-Судженск ул. Ленина 6 </w:t>
            </w:r>
          </w:p>
        </w:tc>
      </w:tr>
      <w:tr>
        <w:trPr>
          <w:tblHeader w:val="0"/>
          <w:cantSplit w:val="0"/>
          <w:trHeight w:val="1178" w:hRule="atLeast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Форма владения (использования) землей (и) и зданиями(ий) (собственность, аренда, др.)</w:t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собственность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1341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5670" w:type="dxa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1341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006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spacing/>
              <w:contextualSpacing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Контактное лицо: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Ф.И.О., должность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pStyle w:val="para0"/>
              <w:ind w:left="175" w:right="0" w:hanging="175"/>
              <w:spacing w:before="0" w:after="0"/>
              <w:contextualSpacing/>
              <w:jc w:val="left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Чемякин Илья Владимирович, начальник управления экономического развития, промышленности и предпринимательства </w:t>
            </w:r>
            <w:r>
              <w:rPr>
                <w:rFonts w:ascii="Times New Roman" w:hAnsi="Times New Roma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Телефон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pStyle w:val="para0"/>
              <w:ind w:left="175" w:right="0" w:hanging="175"/>
              <w:spacing w:before="0" w:after="0"/>
              <w:contextualSpacing/>
              <w:jc w:val="left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8-908-930-5042 ; 8(3845) 6-12-79 ; 8(3845)6-56-17</w:t>
            </w:r>
            <w:r>
              <w:rPr>
                <w:rFonts w:ascii="Times New Roman" w:hAnsi="Times New Roma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9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contextualSpacing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val="en-us" w:eastAsia="en-us"/>
              </w:rPr>
              <w:t>e</w:t>
            </w:r>
            <w:r>
              <w:rPr>
                <w:rFonts w:ascii="Times New Roman" w:hAnsi="Times New Roman" w:eastAsia="Calibri"/>
                <w:lang w:eastAsia="en-us"/>
              </w:rPr>
              <w:t>-</w:t>
            </w:r>
            <w:r>
              <w:rPr>
                <w:rFonts w:ascii="Times New Roman" w:hAnsi="Times New Roman" w:eastAsia="Calibri"/>
                <w:lang w:val="en-us" w:eastAsia="en-us"/>
              </w:rPr>
              <w:t>mail</w:t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1341" protected="0"/>
          </w:tcPr>
          <w:p>
            <w:pPr>
              <w:pStyle w:val="para0"/>
              <w:ind w:left="0" w:right="0" w:firstLine="0"/>
              <w:spacing w:before="0" w:after="0"/>
              <w:contextualSpacing/>
              <w:jc w:val="left"/>
              <w:widowControl/>
              <w:rPr>
                <w:rFonts w:ascii="Times New Roman" w:hAnsi="Times New Roman"/>
              </w:rPr>
            </w:pPr>
            <w:hyperlink r:id="rId9" w:history="1">
              <w:r>
                <w:rPr>
                  <w:rStyle w:val="char4"/>
                  <w:rFonts w:ascii="Times New Roman" w:hAnsi="Times New Roman"/>
                  <w:sz w:val="22"/>
                </w:rPr>
                <w:t>upp@anzhero.ru</w:t>
              </w:r>
            </w:hyperlink>
            <w:r>
              <w:rPr>
                <w:rFonts w:ascii="Times New Roman" w:hAnsi="Times New Roman"/>
              </w:rPr>
              <w:t xml:space="preserve"> ; </w:t>
            </w:r>
            <w:hyperlink r:id="rId10" w:history="1">
              <w:r>
                <w:rPr>
                  <w:rStyle w:val="char4"/>
                  <w:rFonts w:ascii="Times New Roman" w:hAnsi="Times New Roman"/>
                </w:rPr>
                <w:t>promotdel@anzhero.ru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spacing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</w:r>
    </w:p>
    <w:p>
      <w:pPr>
        <w:spacing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</w:r>
    </w:p>
    <w:p>
      <w:pPr>
        <w:spacing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</w:r>
    </w:p>
    <w:p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38" w:w="11906"/>
          <w:pgMar w:left="992" w:top="426" w:right="851" w:bottom="1134" w:header="0" w:footer="0"/>
          <w:paperSrc w:first="0" w:other="0" a="0" b="0"/>
          <w:pgNumType w:fmt="decimal" w:start="0"/>
          <w:titlePg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rPr>
          <w:rFonts w:ascii="Times New Roman" w:hAnsi="Times New Roman"/>
          <w:i/>
          <w:sz w:val="16"/>
        </w:rPr>
      </w:pPr>
      <w:r>
        <w:rPr>
          <w:noProof/>
        </w:rPr>
        <w:drawing>
          <wp:inline distT="0" distB="0" distL="0" distR="0">
            <wp:extent cx="8867775" cy="637222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/>
                      <a:extLst>
                        <a:ext uri="sm">
                          <sm:smNativeData xmlns:sm="sm" val="SMDATA_16_7Qzu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FACAACfAQAAHgM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iAAAAB6AAAAAAAAAAAAAAAAAAAAAAAAAAAAAAAAAAAAAAAAAAAAAAjTYAADMnAAAAAAAAAAAAAAAAAAAoAAAACAAAAAEAAAABAAAA"/>
                        </a:ext>
                      </a:extLst>
                    </pic:cNvPicPr>
                  </pic:nvPicPr>
                  <pic:blipFill>
                    <a:blip r:embed="rId11"/>
                    <a:srcRect t="5920" r="4150" b="7980"/>
                    <a:stretch>
                      <a:fillRect/>
                    </a:stretch>
                  </pic:blipFill>
                  <pic:spPr>
                    <a:xfrm>
                      <a:off x="0" y="0"/>
                      <a:ext cx="8867775" cy="63722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z w:val="16"/>
        </w:rPr>
      </w:r>
    </w:p>
    <w:p>
      <w:r>
        <w:rPr>
          <w:noProof/>
        </w:rPr>
        <w:drawing>
          <wp:inline distT="0" distB="0" distL="0" distR="0">
            <wp:extent cx="8858250" cy="63817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  <a:extLst>
                        <a:ext uri="sm">
                          <sm:smNativeData xmlns:sm="sm" val="SMDATA_16_7Qzu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F0CAACpAQAABAM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jAAAAB6AAAAAAAAAAAAAAAAAAAAAAAAAAAAAAAAAAAAAAAAAAAAAAfjYAAEInAAAAAAAAAAAAAAAAAAAoAAAACAAAAAEAAAABAAAA"/>
                        </a:ext>
                      </a:extLst>
                    </pic:cNvPicPr>
                  </pic:nvPicPr>
                  <pic:blipFill>
                    <a:blip r:embed="rId12"/>
                    <a:srcRect t="6050" r="4250" b="7720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63817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bookmarkStart w:id="38" w:name="_GoBack"/>
      <w:r/>
      <w:bookmarkEnd w:id="38"/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1134" w:top="993" w:right="1134" w:bottom="850" w:header="0" w:footer="0"/>
      <w:paperSrc w:first="0" w:other="0" a="0" b="0"/>
      <w:pgNumType w:fmt="decimal" w:start="0"/>
      <w:titlePg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Arial">
    <w:charset w:val="00"/>
    <w:family w:val="swiss"/>
    <w:pitch w:val="default"/>
  </w:font>
  <w:font w:name="Segoe UI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footnote w:id="37">
    <w:p>
      <w:pPr>
        <w:pStyle w:val="para1"/>
      </w:pPr>
      <w:r>
        <w:rPr>
          <w:rStyle w:val="char2"/>
        </w:rPr>
      </w:r>
      <w:r>
        <w:rPr>
          <w:rStyle w:val="char2"/>
        </w:rPr>
        <w:footnoteRef/>
      </w:r>
      <w:r>
        <w:t xml:space="preserve"> Заполняется по каждому объекту недвижимости </w:t>
      </w:r>
    </w:p>
  </w:footnote>
  <w:footnote w:id="38">
    <w:p>
      <w:pPr>
        <w:pStyle w:val="para1"/>
      </w:pPr>
      <w:r>
        <w:rPr>
          <w:rStyle w:val="char2"/>
        </w:rPr>
      </w:r>
      <w:r>
        <w:rPr>
          <w:rStyle w:val="char2"/>
        </w:rPr>
        <w:footnoteRef/>
      </w:r>
      <w:r>
        <w:t>Для инвестиционных площадок производственного назначения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·"/>
      <w:lvlJc w:val="left"/>
      <w:pPr>
        <w:ind w:left="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7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4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1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28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6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3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0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576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Нумерованный список 2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Нумерованный список 3"/>
    <w:lvl w:ilvl="0">
      <w:start w:val="6"/>
      <w:numFmt w:val="decimal"/>
      <w:suff w:val="tab"/>
      <w:lvlText w:val="%1."/>
      <w:lvlJc w:val="left"/>
      <w:pPr>
        <w:ind w:left="714" w:hanging="0"/>
      </w:pPr>
    </w:lvl>
    <w:lvl w:ilvl="1">
      <w:start w:val="1"/>
      <w:numFmt w:val="lowerLetter"/>
      <w:suff w:val="tab"/>
      <w:lvlText w:val="%2."/>
      <w:lvlJc w:val="left"/>
      <w:pPr>
        <w:ind w:left="1434" w:hanging="0"/>
      </w:pPr>
    </w:lvl>
    <w:lvl w:ilvl="2">
      <w:start w:val="1"/>
      <w:numFmt w:val="lowerRoman"/>
      <w:suff w:val="tab"/>
      <w:lvlText w:val="%3."/>
      <w:lvlJc w:val="right"/>
      <w:pPr>
        <w:ind w:left="2334" w:hanging="0"/>
      </w:pPr>
    </w:lvl>
    <w:lvl w:ilvl="3">
      <w:start w:val="1"/>
      <w:numFmt w:val="decimal"/>
      <w:suff w:val="tab"/>
      <w:lvlText w:val="%4."/>
      <w:lvlJc w:val="left"/>
      <w:pPr>
        <w:ind w:left="2874" w:hanging="0"/>
      </w:pPr>
    </w:lvl>
    <w:lvl w:ilvl="4">
      <w:start w:val="1"/>
      <w:numFmt w:val="lowerLetter"/>
      <w:suff w:val="tab"/>
      <w:lvlText w:val="%5."/>
      <w:lvlJc w:val="left"/>
      <w:pPr>
        <w:ind w:left="3594" w:hanging="0"/>
      </w:pPr>
    </w:lvl>
    <w:lvl w:ilvl="5">
      <w:start w:val="1"/>
      <w:numFmt w:val="lowerRoman"/>
      <w:suff w:val="tab"/>
      <w:lvlText w:val="%6."/>
      <w:lvlJc w:val="right"/>
      <w:pPr>
        <w:ind w:left="4494" w:hanging="0"/>
      </w:pPr>
    </w:lvl>
    <w:lvl w:ilvl="6">
      <w:start w:val="1"/>
      <w:numFmt w:val="decimal"/>
      <w:suff w:val="tab"/>
      <w:lvlText w:val="%7."/>
      <w:lvlJc w:val="left"/>
      <w:pPr>
        <w:ind w:left="5034" w:hanging="0"/>
      </w:pPr>
    </w:lvl>
    <w:lvl w:ilvl="7">
      <w:start w:val="1"/>
      <w:numFmt w:val="lowerLetter"/>
      <w:suff w:val="tab"/>
      <w:lvlText w:val="%8."/>
      <w:lvlJc w:val="left"/>
      <w:pPr>
        <w:ind w:left="5754" w:hanging="0"/>
      </w:pPr>
    </w:lvl>
    <w:lvl w:ilvl="8">
      <w:start w:val="1"/>
      <w:numFmt w:val="lowerRoman"/>
      <w:suff w:val="tab"/>
      <w:lvlText w:val="%9."/>
      <w:lvlJc w:val="right"/>
      <w:pPr>
        <w:ind w:left="6654" w:hanging="0"/>
      </w:pPr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5671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5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4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3"/>
    <w:tmLastPosSelect w:val="0"/>
    <w:tmLastPosFrameIdx w:val="132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0431341" w:val="121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" w:hAnsi="Arial" w:eastAsia="Times New Roman" w:cs="Times New Roman"/>
      <w:sz w:val="24"/>
      <w:szCs w:val="24"/>
      <w:lang w:eastAsia="ru-ru"/>
    </w:rPr>
  </w:style>
  <w:style w:type="paragraph" w:styleId="para1">
    <w:name w:val="Footnote Text"/>
    <w:qFormat/>
    <w:basedOn w:val="para0"/>
    <w:rPr>
      <w:rFonts w:ascii="Times New Roman" w:hAnsi="Times New Roman"/>
      <w:sz w:val="20"/>
      <w:szCs w:val="20"/>
    </w:rPr>
  </w:style>
  <w:style w:type="paragraph" w:styleId="para2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3">
    <w:name w:val="List Paragraph"/>
    <w:qFormat/>
    <w:basedOn w:val="para0"/>
    <w:pPr>
      <w:ind w:left="720"/>
      <w:contextualSpacing/>
    </w:pPr>
  </w:style>
  <w:style w:type="paragraph" w:styleId="para4">
    <w:name w:val="No Spacing"/>
    <w:qFormat/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5" w:customStyle="1">
    <w:name w:val="Default"/>
    <w:qFormat/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styleId="char0" w:default="1">
    <w:name w:val="Default Paragraph Font"/>
  </w:style>
  <w:style w:type="character" w:styleId="char1" w:customStyle="1">
    <w:name w:val="Текст сноски Знак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2">
    <w:name w:val="Footnote Reference"/>
    <w:rPr>
      <w:vertAlign w:val="superscript"/>
    </w:rPr>
  </w:style>
  <w:style w:type="character" w:styleId="char3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Unresolved Mention"/>
    <w:basedOn w:val="char0"/>
    <w:rPr>
      <w:color w:val="605e5c"/>
      <w:shd w:val="clear" w:fill="e1dfdd"/>
    </w:rPr>
  </w:style>
  <w:style w:type="character" w:styleId="char6" w:customStyle="1">
    <w:name w:val="Без интервала Знак"/>
    <w:basedOn w:val="char0"/>
    <w:rPr>
      <w:rFonts w:eastAsia="Calibri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" w:hAnsi="Arial" w:eastAsia="Times New Roman" w:cs="Times New Roman"/>
      <w:sz w:val="24"/>
      <w:szCs w:val="24"/>
      <w:lang w:eastAsia="ru-ru"/>
    </w:rPr>
  </w:style>
  <w:style w:type="paragraph" w:styleId="para1">
    <w:name w:val="Footnote Text"/>
    <w:qFormat/>
    <w:basedOn w:val="para0"/>
    <w:rPr>
      <w:rFonts w:ascii="Times New Roman" w:hAnsi="Times New Roman"/>
      <w:sz w:val="20"/>
      <w:szCs w:val="20"/>
    </w:rPr>
  </w:style>
  <w:style w:type="paragraph" w:styleId="para2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3">
    <w:name w:val="List Paragraph"/>
    <w:qFormat/>
    <w:basedOn w:val="para0"/>
    <w:pPr>
      <w:ind w:left="720"/>
      <w:contextualSpacing/>
    </w:pPr>
  </w:style>
  <w:style w:type="paragraph" w:styleId="para4">
    <w:name w:val="No Spacing"/>
    <w:qFormat/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5" w:customStyle="1">
    <w:name w:val="Default"/>
    <w:qFormat/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styleId="char0" w:default="1">
    <w:name w:val="Default Paragraph Font"/>
  </w:style>
  <w:style w:type="character" w:styleId="char1" w:customStyle="1">
    <w:name w:val="Текст сноски Знак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2">
    <w:name w:val="Footnote Reference"/>
    <w:rPr>
      <w:vertAlign w:val="superscript"/>
    </w:rPr>
  </w:style>
  <w:style w:type="character" w:styleId="char3" w:customStyle="1">
    <w:name w:val="Текст выноски Знак"/>
    <w:basedOn w:val="char0"/>
    <w:rPr>
      <w:rFonts w:ascii="Segoe UI" w:hAnsi="Segoe UI" w:eastAsia="Times New Roman" w:cs="Segoe UI"/>
      <w:sz w:val="18"/>
      <w:szCs w:val="18"/>
      <w:lang w:eastAsia="ru-ru"/>
    </w:rPr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Unresolved Mention"/>
    <w:basedOn w:val="char0"/>
    <w:rPr>
      <w:color w:val="605e5c"/>
      <w:shd w:val="clear" w:fill="e1dfdd"/>
    </w:rPr>
  </w:style>
  <w:style w:type="character" w:styleId="char6" w:customStyle="1">
    <w:name w:val="Без интервала Знак"/>
    <w:basedOn w:val="char0"/>
    <w:rPr>
      <w:rFonts w:eastAsia="Calibri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notes" Target="footnotes.xml"/><Relationship Id="rId9" Type="http://schemas.openxmlformats.org/officeDocument/2006/relationships/hyperlink" Target="mailto:upp@anzhero.ru" TargetMode="External"/><Relationship Id="rId10" Type="http://schemas.openxmlformats.org/officeDocument/2006/relationships/hyperlink" Target="mailto:promotdel@anzhero.ru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Arial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rev.1216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>по заполнению паспортоВ инвестиционных площадок</dc:subject>
  <dc:creator>Государственное казенное учреждение Кемероской области «Агентство по привлечению и защите инвестиций Кузбасса»</dc:creator>
  <cp:keywords/>
  <dc:description/>
  <cp:lastModifiedBy/>
  <cp:revision>14</cp:revision>
  <dcterms:created xsi:type="dcterms:W3CDTF">2021-01-11T08:08:00Z</dcterms:created>
  <dcterms:modified xsi:type="dcterms:W3CDTF">2025-10-14T08:42:21Z</dcterms:modified>
</cp:coreProperties>
</file>