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right"/>
        <w:rPr>
          <w:i/>
          <w:iCs/>
        </w:rPr>
      </w:pPr>
      <w:r>
        <w:rPr>
          <w:i/>
          <w:iCs/>
        </w:rPr>
        <w:t>Внесены изменения постановлением от  30.12.2022 № 1729</w:t>
      </w:r>
    </w:p>
    <w:tbl>
      <w:tblPr>
        <w:name w:val="Таблица1"/>
        <w:tabOrder w:val="0"/>
        <w:jc w:val="left"/>
        <w:tblInd w:w="0" w:type="dxa"/>
        <w:tblW w:w="10182" w:type="dxa"/>
        <w:pPr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tblHeader w:val="0"/>
          <w:cantSplit w:val="0"/>
          <w:trHeight w:val="1210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3335860" protected="1"/>
          </w:tcPr>
          <w:p>
            <w:pPr>
              <w:spacing/>
              <w:jc w:val="center"/>
            </w:pPr>
            <w:r>
              <w:rPr>
                <w:noProof w:val="1"/>
              </w:rPr>
            </w:r>
            <w:r>
              <w:rPr>
                <w:noProof/>
              </w:rPr>
              <w:drawing>
                <wp:inline distT="0" distB="0" distL="0" distR="0">
                  <wp:extent cx="457200" cy="716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30"/>
                          <pic:cNvPicPr>
                            <a:picLocks noChangeAspect="1"/>
                            <a:extLst>
                              <a:ext uri="sm">
                                <sm:smNativeData xmlns:sm="sm" val="SMDATA_16_NBS9Y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0AIAAGg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16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 w:val="1"/>
              </w:rPr>
            </w:r>
            <w:r/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3335860" protected="1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>
              <w:rPr>
                <w:b/>
                <w:caps/>
                <w:sz w:val="28"/>
                <w:szCs w:val="28"/>
              </w:rPr>
              <w:t>КЕМЕРОВСКАЯ ОБЛАСТЬ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>
            <w:pPr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caps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3335860" protected="1"/>
          </w:tcPr>
          <w:p>
            <w:pPr>
              <w:spacing/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 w:cs="Arial Narrow"/>
                <w:b/>
                <w:caps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3335860" protected="1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1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3335860" protected="1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333586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bookmarkStart w:id="1" w:name="r09d"/>
            <w:r>
              <w:rPr>
                <w:sz w:val="28"/>
                <w:szCs w:val="28"/>
              </w:rPr>
              <w:t xml:space="preserve">29   </w:t>
            </w:r>
            <w:bookmarkEnd w:id="1"/>
            <w:r>
              <w:rPr>
                <w:sz w:val="28"/>
                <w:szCs w:val="28"/>
              </w:rPr>
            </w:r>
          </w:p>
        </w:tc>
        <w:tc>
          <w:tcPr>
            <w:tcW w:w="39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3335860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333586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bookmarkStart w:id="2" w:name="r09m"/>
            <w:r>
              <w:rPr>
                <w:sz w:val="28"/>
                <w:szCs w:val="28"/>
              </w:rPr>
              <w:t xml:space="preserve">марта   </w:t>
            </w:r>
            <w:bookmarkEnd w:id="2"/>
            <w:r>
              <w:rPr>
                <w:sz w:val="28"/>
                <w:szCs w:val="28"/>
              </w:rPr>
            </w:r>
          </w:p>
        </w:tc>
        <w:tc>
          <w:tcPr>
            <w:tcW w:w="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3335860" protected="1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3335860" protected="1"/>
          </w:tcPr>
          <w:p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333586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333586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3335860" protected="1"/>
          </w:tcPr>
          <w:p>
            <w:pPr>
              <w:rPr>
                <w:sz w:val="28"/>
                <w:szCs w:val="28"/>
              </w:rPr>
            </w:pPr>
            <w:bookmarkStart w:id="3" w:name="r10"/>
            <w:r>
              <w:rPr>
                <w:sz w:val="28"/>
                <w:szCs w:val="28"/>
              </w:rPr>
              <w:t xml:space="preserve">   </w:t>
            </w:r>
            <w:bookmarkEnd w:id="3"/>
            <w:r>
              <w:rPr>
                <w:sz w:val="28"/>
                <w:szCs w:val="28"/>
              </w:rPr>
              <w:t>425</w:t>
            </w:r>
          </w:p>
        </w:tc>
        <w:tc>
          <w:tcPr>
            <w:tcW w:w="17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333586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333586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para2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муниципально-частном партнерстве </w:t>
      </w:r>
    </w:p>
    <w:p>
      <w:pPr>
        <w:pStyle w:val="para2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Анжеро-Судженском городском округе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взаимодействия органов местного самоуправления и субъектов предпринимательства при решении вопросов, направленных на  развития муниципально-частного партнерства на территории муниципального образования «Анжеро-Судженский городской округ», а также в соответствии с Гражданским </w:t>
      </w:r>
      <w:hyperlink w:anchor="consultantplus://offline/ref=FF250BC3DAEAE0FE4ADDB82A48D975592BA3081AB700660AE294B13319e8I4J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w:anchor="consultantplus://offline/ref=FF250BC3DAEAE0FE4ADDB82A48D975592BA2081BB705660AE294B13319e8I4J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w:anchor="consultantplus://offline/ref=FF250BC3DAEAE0FE4ADDB82A48D975592BA20819B106660AE294B13319e8I4J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w:anchor="consultantplus://offline/ref=FF250BC3DAEAE0FE4ADDB82A48D975592BA30A1DBA07660AE294B13319e8I4J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21.07.2005 N 115-ФЗ "О концессионных соглашениях", Федеральным </w:t>
      </w:r>
      <w:hyperlink w:anchor="consultantplus://offline/ref=FF250BC3DAEAE0FE4ADDB82A48D975592BA30A1FB201660AE294B1331984C3F263C0EB23C31EE725eBI3J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</w:t>
      </w:r>
      <w:hyperlink w:anchor="consultantplus://offline/ref=FF250BC3DAEAE0FE4ADDA6275EB52B532BA15516B3016F5EBAC2B76446D4C5A723e8I0J" w:history="1">
        <w:r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«Анжеро-Судженский городской округ»: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9" w:history="1">
        <w:r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муниципально-частном партнерстве  в Анжеро-Судженском городском округе</w:t>
        <w:tab/>
        <w:tab/>
        <w:t>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стороной соглашений о муниципально-частном партнерстве от имени муниципального образования «Анжеро-Судженский городской округ» администрацию Анжеро-Судженского городского округа.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городской газете «Наш город» и разместить на официальном сайте Анжеро-Судженского городского округа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информационно-телекоммуникационной 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сети «Интернет», электронный адрес </w:t>
      </w:r>
      <w:hyperlink r:id="rId9" w:history="1">
        <w:r>
          <w:rPr>
            <w:sz w:val="28"/>
            <w:szCs w:val="28"/>
          </w:rPr>
          <w:t>www.anzhero.ru</w:t>
        </w:r>
      </w:hyperlink>
      <w:r>
        <w:rPr>
          <w:sz w:val="28"/>
          <w:szCs w:val="28"/>
        </w:rPr>
        <w:t xml:space="preserve">. </w:t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первого  заместителя главы  городского округа Д.В.Ажичакова.</w:t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0" hidden="0" allowOverlap="1">
            <wp:simplePos x="0" y="0"/>
            <wp:positionH relativeFrom="column">
              <wp:posOffset>2375535</wp:posOffset>
            </wp:positionH>
            <wp:positionV relativeFrom="paragraph">
              <wp:posOffset>46355</wp:posOffset>
            </wp:positionV>
            <wp:extent cx="1390650" cy="1390650"/>
            <wp:effectExtent l="0" t="0" r="0" b="0"/>
            <wp:wrapNone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extLst>
                        <a:ext uri="sm">
                          <sm:smNativeData xmlns:sm="sm" val="SMDATA_16_NBS9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MAAAAAIAAACAAAAAAAAAAAAAAAAIAAACdDgAAAAAAAAIAAABJAAAAjggAAI4IAAAAAAAAJxQAAAY3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В.Н.Чернов</w:t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>
      <w:pPr>
        <w:pStyle w:val="para1"/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>
      <w:pPr>
        <w:pStyle w:val="para1"/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>
      <w:pPr>
        <w:pStyle w:val="para1"/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Анжеро-Судженского городского</w:t>
      </w:r>
    </w:p>
    <w:p>
      <w:pPr>
        <w:pStyle w:val="para1"/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от 29.03.2016  №  425</w:t>
      </w:r>
    </w:p>
    <w:p>
      <w:pPr>
        <w:pStyle w:val="para1"/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para2"/>
        <w:spacing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9"/>
      <w:r>
        <w:rPr>
          <w:rFonts w:ascii="Times New Roman" w:hAnsi="Times New Roman" w:cs="Times New Roman"/>
          <w:sz w:val="28"/>
          <w:szCs w:val="28"/>
        </w:rPr>
      </w:r>
      <w:bookmarkEnd w:id="4"/>
      <w:r>
        <w:rPr>
          <w:rFonts w:ascii="Times New Roman" w:hAnsi="Times New Roman" w:cs="Times New Roman"/>
          <w:sz w:val="28"/>
          <w:szCs w:val="28"/>
        </w:rPr>
        <w:t>ПОЛОЖЕНИЕ</w:t>
      </w:r>
    </w:p>
    <w:p>
      <w:pPr>
        <w:pStyle w:val="para2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МУНИЦИПАЛЬНО-ЧАСТНОМ ПАРТНЕРСТВЕ В АНЖЕРО-СУДЖЕНСКОМ ГОРОДСКОМ ОКРУГЕ</w:t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 РЕГУЛИРОВАНИЯ НАСТОЯЩЕГО ПОЛОЖЕНИЯ</w:t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Настоящее Положение определяет цели, формы и условия участия муниципального образования «Анжеро-Судженский городской округ» в муниципально-частном партнерстве, которое осуществляется в соответствии с Гражданским </w:t>
      </w:r>
      <w:hyperlink w:anchor="consultantplus://offline/ref=FF250BC3DAEAE0FE4ADDB82A48D975592BA3081AB700660AE294B13319e8I4J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w:anchor="consultantplus://offline/ref=FF250BC3DAEAE0FE4ADDB82A48D975592BA2081BB705660AE294B13319e8I4J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w:anchor="consultantplus://offline/ref=FF250BC3DAEAE0FE4ADDB82A48D975592BA20819B106660AE294B13319e8I4J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w:anchor="consultantplus://offline/ref=FF250BC3DAEAE0FE4ADDB82A48D975592BA30A1DBA07660AE294B13319e8I4J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21.07.2005 N 115-ФЗ "О концессионных соглашениях", Федеральным </w:t>
      </w:r>
      <w:hyperlink w:anchor="consultantplus://offline/ref=FF250BC3DAEAE0FE4ADDB82A48D975592BA30A1FB201660AE294B13319e8I4J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Закон N 224-ФЗ).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Настоящее Положение разработано в целях регулирования взаимоотношений органов местного самоуправления и субъектов предпринимательства (далее - партнер) в рамках муниципально-частного партнерства.</w:t>
      </w:r>
    </w:p>
    <w:p>
      <w:pPr>
        <w:pStyle w:val="para1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Для целей настоящего Положения используются понятия, предусмотренные в Законе N 224-ФЗ.   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МУНИЦИПАЛЬНО-ЧАСТНОГО ПАРТНЕРСТВА</w:t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муниципально-частного партнерства являются: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создание  условий для привлечения инвестиций в экономику Анжеро-Судженского городского округа и повышения качества товаров, работ, услуг, организация обеспечения которыми потребителей относится к вопросам ведения органов  местного самоуправления;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доступности и улучшение качества услуг, предоставляемых потребителям услуг с использованием объектов социальной и инженерной инфраструктуры, за счет привлечения частных инвестиций в создание, реконструкцию, модернизацию, обслуживание или эксплуатацию объектов социальной и инженерной инфраструктуры;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обеспечение эффективности использования имущества, находящегося в муниципальной собственности Анжеро-Судженского городского округа.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ФОРМЫ УЧАСТИЯ АНЖЕРО-СУДЖЕНСКОГО ГОРОДСКОГО ОКРУГА</w:t>
      </w:r>
    </w:p>
    <w:p>
      <w:pPr>
        <w:pStyle w:val="para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МУНИЦИПАЛЬНО-ЧАСТНОМ ПАРТНЕРСТВЕ</w:t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Анжеро-Судженского городского округа в муниципально-частном партнерстве осуществляется в соответствии с действующим законодательством в следующих формах: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вовлечение в инвестиционный процесс имущества, находящегося в собственности муниципального образования;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реализация инвестиционных проектов, в том числе инвестиционных проектов местного значения;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концессионные соглашения;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соглашения о сотрудничестве и взаимодействии в сфере социально-экономического развития Анжеро-Судженского городского округа;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иных формах, не противоречащих действующему законодательству (например, бюджетные инвестиции юридическим лицам, не являющимся государственными и муниципальными учреждениями и государственными или муниципальными унитарными предприятиями; залог имущества, находящегося в муниципальной собственности; арендные отношения; долгосрочную аренду; создание совместных юридических лиц; залог муниципального имущества в соответствии с соглашением о муниципально-частном партнерстве; предоставление муниципальных гарантий хозяйствующему субъекту, участвующему в реализации проектов муниципально-частного партнерства, и др.).</w:t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ФОРМЫ МУНИЦИПАЛЬНОЙ ПОДДЕРЖКИ МУНИЦИПАЛЬНО-ЧАСТНОГО ПАРТНЕРСТВА В АНЖЕРО-СУДЖЕНСКОМ ГОРДСКОМ ОКРУГЕ</w:t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поддержка муниципально-частного партнерства  может осуществляться в соответствии с действующим законодательством, в следующих формах: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предоставление налоговых льгот;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предоставление бюджетных инвестиций;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3)предоставление льгот по аренде имущества, являющегося муниципальной собственностью;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субсидирование за счет средств местного бюджета части процентной ставки за пользование кредитом;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предоставление инвестиций в уставный капитал;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информационная и консультационная поддержка.</w:t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ОБЪЕКТЫ СОГЛАШЕНИЯ</w:t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соглашения могут являться: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транспорт и дорожная инфраструктура;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система коммунальной инфраструктуры, объекты благоустройства;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объекты, используемые для осуществления медицинской, лечебно-профилактической и иной деятельности в системе здравоохранения;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объекты образования, культуры, спорта, туризма, социального обслуживания, иные объекты социально-культурного назначения.</w:t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5) иные объекты, предусмотренные статьёй 7 Закона N 224-ФЗ.   </w:t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ЗАКЛЮЧЕНИЕ СОГЛАШЕНИЯ</w:t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случае если инициатором проекта выступает  администрация Анжеро-Судженского городского округа, то она обеспечивает разработку предложения о реализации проекта муниципально-частного партнерства.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Предложение от юридических лиц о муниципально-частном партнерстве (далее - предложение) направляется в Администрацию Анжеро-Судженского городского округа.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Администрация Анжеро-Судженского городского округа инициирует проведение переговоров путем направления в письменной форме уведомления о проведении переговоров с указанием формы их проведения, перечня рассматриваемых вопросов и при необходимости перечня запрашиваемых дополнительных материалов и документов.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Инициатор проекта в срок, не превышающий 5 рабочих дней со дня поступления уведомления о проведении переговоров, сообщает об участии в переговорах или об отказе от участия в переговорах.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случае если инициатор проекта отказался от участия в переговорах или не направили уведомления об участии в переговорах в срок, не превышающий 5 рабочих дней, Администрация Анжеро-Судженского городского округа оставляет предложение о реализации проекта без рассмотрения, о чем в письменной форме уведомляет инициатора проекта.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переговоров вправе привлекать к проведению переговоров консультантов, компетентные государственные органы и экспертов.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Администрация Анжеро-Судженского городского округа рассматривает предложение о реализации проекта в целях оценки эффективности проекта и определения его сравнительного преимущества.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 случаях, предусмотренных федеральным законодательством, муниципальными нормативными правовыми актами соглашения заключаются на основании конкурса, за исключением предусмотренных действующим законодательством случаях.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При принятии решения о реализации проекта муниципально-частного партнерства определяются форма муниципально-частного партнерства посредством включения в соглашение обязательных элементов соглашения и определения последовательности их реализации.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Обязательными элементами соглашения являются: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и (или) реконструкция (далее также - создание) объекта соглашения частным партнером;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частным партнером полного или частичного финансирования создания объекта соглашения;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частным партнером эксплуатации и (или) технического обслуживания объекта соглашения;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возникновение у частного партнера права собственности на объект соглашения при условии обременения объекта соглашения;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соглашение в целях определения формы муниципально-частного партнерства могут быть также включены следующие элементы: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проектирование частным партнером объекта соглашения;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частным партнером полного или частичного финансирования эксплуатации и (или) технического обслуживания объекта соглашения;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публичным партнером частичного финансирования создания частным партнером объекта соглашения, а также финансирование его эксплуатации и (или) технического обслуживания;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у частного партнера обязательства по передаче объекта соглашения о муниципально-частном партнерстве в собственность публичного партнера по истечении определенного соглашением срока, но не позднее дня прекращения соглашения.</w:t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ПОЛНОМОЧИЯ АДМИНИСТРАЦИИ АНЖЕРО-СУДЖЕНСКОГО ГОРОДСКОГО ОКРУГА</w:t>
      </w:r>
    </w:p>
    <w:p>
      <w:pPr>
        <w:pStyle w:val="para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МУНИЦИПАЛЬНО-ЧАСТНОГО ПАРТНЕРСТВА</w:t>
      </w:r>
    </w:p>
    <w:p>
      <w:pPr>
        <w:pStyle w:val="par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К полномочиям Администрации Анжеро-Судженского городского округа в сфере муниципально-частного партнерства относится принятие решения о реализации проекта муниципально-частного партнерства,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образования, а также осуществление иных полномочий, предусмотренных действующим законодательством.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Глава Анжеро-Судженского городского округа, назначает должностных лиц ответственных на осуществление следующих полномочий: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согласование публичному партнеру конкурсной документации для проведения конкурсов на право заключения соглашения о муниципально-частном партнерстве;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содействие в защите прав и законных интересов публичных партнеров и частных партнеров в процессе реализации соглашения о муниципально-частном партнерстве;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обеспечение открытости и доступности информации о соглашении о муниципально-частном партнерстве;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представление в уполномоченный орган результатов мониторинга реализации соглашения о муниципально-частном партнерстве;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осуществление иных полномочий, предусмотренных Федеральным законом, другими федеральными законами, законами и нормативными правовыми актами субъектов Российской Федерации и муниципальными правовыми актами.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Проведения оценки эффективности проекта муниципально-частного партнерства и определения его сравнительного преимущества Администрация Анжеро-Судженского городского округа осуществляет в установленном муниципальным правовым актом порядке.</w:t>
      </w:r>
    </w:p>
    <w:p>
      <w:pPr>
        <w:pStyle w:val="para1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Ведение реестра заключенных соглашений о муниципально-частном партнерстве возлагается на управление промышленности и поддержки  малого и среднего предпринимательства.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18" w:top="1134" w:right="850" w:bottom="1134"/>
      <w:paperSrc w:first="0" w:other="0" a="0" b="0"/>
      <w:pgNumType w:fmt="decimal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Arial Narrow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73335860" w:val="121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 w:customStyle="1">
    <w:name w:val="ConsPlusNormal"/>
    <w:qFormat/>
    <w:pPr>
      <w:widowControl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styleId="para2" w:customStyle="1">
    <w:name w:val="ConsPlusTitle"/>
    <w:qFormat/>
    <w:pPr>
      <w:widowControl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styleId="para3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 w:customStyle="1">
    <w:name w:val="ConsPlusNormal"/>
    <w:qFormat/>
    <w:pPr>
      <w:widowControl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styleId="para2" w:customStyle="1">
    <w:name w:val="ConsPlusTitle"/>
    <w:qFormat/>
    <w:pPr>
      <w:widowControl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styleId="para3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://www.anzhero.ru/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Алтынбаева А.Ш.</cp:lastModifiedBy>
  <cp:revision>5</cp:revision>
  <dcterms:created xsi:type="dcterms:W3CDTF">2004-10-18T02:54:00Z</dcterms:created>
  <dcterms:modified xsi:type="dcterms:W3CDTF">2023-01-10T07:31:00Z</dcterms:modified>
</cp:coreProperties>
</file>