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B4" w:rsidRDefault="000129B4" w:rsidP="00B04D35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D35" w:rsidRPr="000129B4" w:rsidRDefault="00454698" w:rsidP="00B04D35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B04D35"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тчёт о результатах деятельности финансового управления </w:t>
      </w:r>
      <w:r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  <w:r w:rsidR="001F5E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>Анжеро-Судженска</w:t>
      </w:r>
      <w:r w:rsidR="00B04D35"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 201</w:t>
      </w:r>
      <w:r w:rsidR="00473A4D"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B04D35" w:rsidRPr="000129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6C6353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</w:t>
      </w:r>
      <w:r w:rsidR="00454698" w:rsidRPr="00ED60CC">
        <w:rPr>
          <w:rFonts w:ascii="Times New Roman" w:eastAsia="Times New Roman" w:hAnsi="Times New Roman" w:cs="Times New Roman"/>
          <w:sz w:val="28"/>
          <w:szCs w:val="28"/>
        </w:rPr>
        <w:t>г. Анжеро-Судженска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(далее – финансовое управление) 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6C6353" w:rsidRPr="00ED60CC">
        <w:rPr>
          <w:rFonts w:ascii="Times New Roman" w:hAnsi="Times New Roman" w:cs="Times New Roman"/>
          <w:sz w:val="28"/>
          <w:szCs w:val="28"/>
        </w:rPr>
        <w:t>территориальным органом главного финансового управления Кемеровской области, обеспечивающим разработку и реализацию единой финансовой политики и осуществляющим на основе Соглашения техническое обеспечение бюджетного процесса на территории города Анжеро-Судженска.</w:t>
      </w:r>
    </w:p>
    <w:p w:rsidR="006C6353" w:rsidRPr="00ED60CC" w:rsidRDefault="006C6353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 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области, законами Кемеровской области, постановлениями и распоряжениями Губернатора Кемеровской области, Коллегии Администрации Кемеровской области, Уставом муниципального образования, нормативными правовыми актами органов местного самоуправления, другими нормативными правовыми актами, в том числе приказами, указаниями и инструкциями Министерства финансов Российской Федерации и главного финансового управления Кемеровской области в вопросах составления проекта бюджета и исполнения бюджета, а также иными документами.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Основными задачами финансового управления в 201</w:t>
      </w:r>
      <w:r w:rsidR="00473A4D" w:rsidRPr="00ED60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году, являлись:</w:t>
      </w:r>
    </w:p>
    <w:p w:rsidR="00B04D35" w:rsidRPr="00ED60CC" w:rsidRDefault="000A7167" w:rsidP="00B04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бюджетного процесса в Анжеро-Судженском городском округе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4D35" w:rsidRPr="00ED60CC" w:rsidRDefault="000A7167" w:rsidP="00B04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обеспечение прозрачности и открытости бюджетного процесса;</w:t>
      </w:r>
    </w:p>
    <w:p w:rsidR="00B04D35" w:rsidRPr="00ED60CC" w:rsidRDefault="000A7167" w:rsidP="00B04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поддержание безопасного уровня дефицита и муниципального долга;</w:t>
      </w:r>
    </w:p>
    <w:p w:rsidR="000A7167" w:rsidRPr="00ED60CC" w:rsidRDefault="000A7167" w:rsidP="000A716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ограничение роста расходов бюджета, не обеспеченных ст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абильными доходными источниками.</w:t>
      </w:r>
    </w:p>
    <w:p w:rsidR="008534CE" w:rsidRPr="00ED60CC" w:rsidRDefault="008534CE" w:rsidP="00160E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«Анжеро-Судженский городской округ» за 201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95E3E" w:rsidRPr="00ED60CC">
        <w:rPr>
          <w:rFonts w:ascii="Times New Roman" w:eastAsia="Times New Roman" w:hAnsi="Times New Roman" w:cs="Times New Roman"/>
          <w:sz w:val="28"/>
          <w:szCs w:val="28"/>
        </w:rPr>
        <w:t>по доходам составил 3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> 669 737,1</w:t>
      </w:r>
      <w:r w:rsidR="00F95E3E" w:rsidRPr="00ED60C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4CE" w:rsidRPr="00ED60CC" w:rsidRDefault="008534CE" w:rsidP="00007067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Собственная база местного бюджета (с учетом прочих безвозмездных поступлений) выполнена к годовому плану на 10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% и составила 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>707219,9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ED60CC">
        <w:rPr>
          <w:rFonts w:ascii="Times New Roman" w:hAnsi="Times New Roman" w:cs="Times New Roman"/>
          <w:sz w:val="28"/>
          <w:szCs w:val="28"/>
        </w:rPr>
        <w:t xml:space="preserve">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="00B3331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и неналоговые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доходы составили </w:t>
      </w:r>
      <w:r w:rsidR="004F0FF3" w:rsidRPr="00ED60CC">
        <w:rPr>
          <w:rFonts w:ascii="Times New Roman" w:eastAsia="Times New Roman" w:hAnsi="Times New Roman" w:cs="Times New Roman"/>
          <w:sz w:val="28"/>
          <w:szCs w:val="28"/>
        </w:rPr>
        <w:t>625 203,</w:t>
      </w:r>
      <w:r w:rsidR="00DD3E94" w:rsidRPr="00ED60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0534"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B04D35" w:rsidRPr="00ED60CC" w:rsidRDefault="00034216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мониторинг налоговых и неналоговых поступлений в бюджет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, проводимый работниками управления, оперативное взаимодействие с администраторами поступлений в </w:t>
      </w:r>
      <w:r w:rsidR="0042051B" w:rsidRPr="00ED60CC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бюджет, структурными подразделениями администрации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Анжеро-Судженского городского округа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, управлением Федерального казначейства позволили своевременно реагировать на динамику поступлений в течени</w:t>
      </w:r>
      <w:r w:rsidR="0042051B" w:rsidRPr="00ED60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года и принимать эффективные меры по мобилизации доходов в бюджет </w:t>
      </w:r>
      <w:r w:rsidR="0042051B" w:rsidRPr="00ED60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сбалансированности и устойчивости </w:t>
      </w:r>
      <w:r w:rsidR="00E55761" w:rsidRPr="00ED60C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61" w:rsidRPr="00ED60CC">
        <w:rPr>
          <w:rFonts w:ascii="Times New Roman" w:eastAsia="Times New Roman" w:hAnsi="Times New Roman" w:cs="Times New Roman"/>
          <w:sz w:val="28"/>
          <w:szCs w:val="28"/>
        </w:rPr>
        <w:t>Анжеро-Судженск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55761"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55761" w:rsidRPr="00ED60CC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5761" w:rsidRPr="00ED60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 xml:space="preserve">от 07.11.2018 №1474 « Об утверждении Программы 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финансового оздоровления Анжеро - Судженского городского округа на 2018-2021 годы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, утвержден 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833945" w:rsidRPr="00ED60C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DF48D3" w:rsidRPr="00ED60CC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финансовому оздоровлению Анжеро - Судженского городского округа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394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463A7" w:rsidRPr="00ED60CC">
        <w:rPr>
          <w:rFonts w:ascii="Times New Roman" w:eastAsia="Times New Roman" w:hAnsi="Times New Roman" w:cs="Times New Roman"/>
          <w:sz w:val="28"/>
          <w:szCs w:val="28"/>
        </w:rPr>
        <w:t>основании,</w:t>
      </w:r>
      <w:r w:rsidR="0083394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которого ежеквартально специалистами управления проводится анализ бюджетного эффекта мероприятий по увеличению доходов и совершенствованию долговой политики, а также  эффективности расходов.</w:t>
      </w:r>
    </w:p>
    <w:p w:rsidR="00473A4D" w:rsidRPr="00ED60CC" w:rsidRDefault="00AB03A7" w:rsidP="00473A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Расходы местного бюджета за 201</w:t>
      </w:r>
      <w:r w:rsidR="00473A4D" w:rsidRPr="00ED60CC">
        <w:rPr>
          <w:rFonts w:ascii="Times New Roman" w:hAnsi="Times New Roman" w:cs="Times New Roman"/>
          <w:sz w:val="28"/>
          <w:szCs w:val="28"/>
        </w:rPr>
        <w:t>9 год составили 3 728 996,8</w:t>
      </w:r>
      <w:r w:rsidRPr="00ED60C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73A4D" w:rsidRPr="00ED60CC">
        <w:rPr>
          <w:rFonts w:ascii="Times New Roman" w:hAnsi="Times New Roman" w:cs="Times New Roman"/>
          <w:sz w:val="28"/>
          <w:szCs w:val="28"/>
        </w:rPr>
        <w:t>больше</w:t>
      </w:r>
      <w:r w:rsidRPr="00ED60CC">
        <w:rPr>
          <w:rFonts w:ascii="Times New Roman" w:hAnsi="Times New Roman" w:cs="Times New Roman"/>
          <w:sz w:val="28"/>
          <w:szCs w:val="28"/>
        </w:rPr>
        <w:t xml:space="preserve"> расходов прошлого года на </w:t>
      </w:r>
      <w:r w:rsidR="00473A4D" w:rsidRPr="00ED60CC">
        <w:rPr>
          <w:rFonts w:ascii="Times New Roman" w:hAnsi="Times New Roman" w:cs="Times New Roman"/>
          <w:sz w:val="28"/>
          <w:szCs w:val="28"/>
        </w:rPr>
        <w:t>556 549,1</w:t>
      </w:r>
      <w:r w:rsidRPr="00ED60CC">
        <w:rPr>
          <w:rFonts w:ascii="Times New Roman" w:hAnsi="Times New Roman" w:cs="Times New Roman"/>
          <w:sz w:val="28"/>
          <w:szCs w:val="28"/>
        </w:rPr>
        <w:t xml:space="preserve"> тыс. рублей или на 1</w:t>
      </w:r>
      <w:r w:rsidR="00473A4D" w:rsidRPr="00ED60CC">
        <w:rPr>
          <w:rFonts w:ascii="Times New Roman" w:hAnsi="Times New Roman" w:cs="Times New Roman"/>
          <w:sz w:val="28"/>
          <w:szCs w:val="28"/>
        </w:rPr>
        <w:t>7,5</w:t>
      </w:r>
      <w:r w:rsidRPr="00ED60CC">
        <w:rPr>
          <w:rFonts w:ascii="Times New Roman" w:hAnsi="Times New Roman" w:cs="Times New Roman"/>
          <w:sz w:val="28"/>
          <w:szCs w:val="28"/>
        </w:rPr>
        <w:t xml:space="preserve"> %. Исполнение к уточненному плану </w:t>
      </w:r>
      <w:r w:rsidR="00473A4D" w:rsidRPr="00ED60C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ED60CC">
        <w:rPr>
          <w:rFonts w:ascii="Times New Roman" w:hAnsi="Times New Roman" w:cs="Times New Roman"/>
          <w:sz w:val="28"/>
          <w:szCs w:val="28"/>
        </w:rPr>
        <w:t>9</w:t>
      </w:r>
      <w:r w:rsidR="00473A4D" w:rsidRPr="00ED60CC">
        <w:rPr>
          <w:rFonts w:ascii="Times New Roman" w:hAnsi="Times New Roman" w:cs="Times New Roman"/>
          <w:sz w:val="28"/>
          <w:szCs w:val="28"/>
        </w:rPr>
        <w:t>8,8</w:t>
      </w:r>
      <w:r w:rsidRPr="00ED60C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По разделам израсходовано: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0CC">
        <w:rPr>
          <w:rFonts w:ascii="Times New Roman" w:hAnsi="Times New Roman" w:cs="Times New Roman"/>
          <w:sz w:val="28"/>
          <w:szCs w:val="28"/>
        </w:rPr>
        <w:t xml:space="preserve">- на решение </w:t>
      </w:r>
      <w:r w:rsidRPr="00ED60CC">
        <w:rPr>
          <w:rFonts w:ascii="Times New Roman" w:hAnsi="Times New Roman" w:cs="Times New Roman"/>
          <w:i/>
          <w:sz w:val="28"/>
          <w:szCs w:val="28"/>
        </w:rPr>
        <w:t>«Общегосударственных вопросов»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- 181,1 млн. руб. – 98,3 % от планируемой на год суммы и на 17,0 % больше, чем в прошлом году в связи с увеличением фонда оплаты труда (ФОТ): в 2018 году работникам бюджетной сферы, на основании повышения минимального размера оплаты труда (МРОТ) с 01.05.2018, и по всем категориям работников с 01.01.2019г. на 5%, а также в связи </w:t>
      </w:r>
      <w:r w:rsidR="001F5E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5EA5">
        <w:rPr>
          <w:rFonts w:ascii="Times New Roman" w:hAnsi="Times New Roman" w:cs="Times New Roman"/>
          <w:sz w:val="28"/>
          <w:szCs w:val="28"/>
        </w:rPr>
        <w:t xml:space="preserve"> увеличением ФОТ муниципальных служащих с 01.01.2019г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на статью </w:t>
      </w:r>
      <w:r w:rsidRPr="00ED60CC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направлено 12,1 млн. руб. – 99,2 % запланированного на год финансирования и на 57,1 % больше объема аналогичного периода прошлого года в связи с увеличением ФОТ с 01.01.2019г. на 5%</w:t>
      </w:r>
      <w:r w:rsidR="001F5EA5">
        <w:rPr>
          <w:rFonts w:ascii="Times New Roman" w:hAnsi="Times New Roman" w:cs="Times New Roman"/>
          <w:sz w:val="28"/>
          <w:szCs w:val="28"/>
        </w:rPr>
        <w:t xml:space="preserve">, а также реорганизацией </w:t>
      </w:r>
      <w:r w:rsidR="001F5EA5" w:rsidRPr="00B91575">
        <w:rPr>
          <w:sz w:val="28"/>
          <w:szCs w:val="28"/>
        </w:rPr>
        <w:t>учреждени</w:t>
      </w:r>
      <w:r w:rsidR="001F5EA5">
        <w:rPr>
          <w:sz w:val="28"/>
          <w:szCs w:val="28"/>
        </w:rPr>
        <w:t>я</w:t>
      </w:r>
      <w:r w:rsidR="001F5EA5" w:rsidRPr="00B91575">
        <w:rPr>
          <w:sz w:val="28"/>
          <w:szCs w:val="28"/>
        </w:rPr>
        <w:t xml:space="preserve"> МБУ "АДС-05" путем присоединения к МКУ "</w:t>
      </w:r>
      <w:proofErr w:type="spellStart"/>
      <w:r w:rsidR="001F5EA5" w:rsidRPr="00B91575">
        <w:rPr>
          <w:sz w:val="28"/>
          <w:szCs w:val="28"/>
        </w:rPr>
        <w:t>ГОиЧС</w:t>
      </w:r>
      <w:proofErr w:type="spellEnd"/>
      <w:r w:rsidR="001F5EA5" w:rsidRPr="00B91575">
        <w:rPr>
          <w:sz w:val="28"/>
          <w:szCs w:val="28"/>
        </w:rPr>
        <w:t>"</w:t>
      </w:r>
      <w:r w:rsidR="001F5EA5">
        <w:rPr>
          <w:sz w:val="28"/>
          <w:szCs w:val="28"/>
        </w:rPr>
        <w:t>;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0CC">
        <w:rPr>
          <w:rFonts w:ascii="Times New Roman" w:hAnsi="Times New Roman" w:cs="Times New Roman"/>
          <w:sz w:val="28"/>
          <w:szCs w:val="28"/>
        </w:rPr>
        <w:t xml:space="preserve">- на финансирование вопросов </w:t>
      </w:r>
      <w:r w:rsidRPr="00ED60CC">
        <w:rPr>
          <w:rFonts w:ascii="Times New Roman" w:hAnsi="Times New Roman" w:cs="Times New Roman"/>
          <w:i/>
          <w:sz w:val="28"/>
          <w:szCs w:val="28"/>
        </w:rPr>
        <w:t>«Национальной экономики»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в текущем периоде направлено 98,8% от годового объема средств –302,4 млн. руб. и на 17,3% больше объема 2018 года, в связи увеличением за счет остатка субсидии на 01.01.2019 в сумме 39,3 млн. руб. на «Проектирование,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 xml:space="preserve"> круглогодичной связи с сетью автомобильных дорог общего пользования»,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 из местного бюджета по этим субсидиям составляет 8,3 млн. руб., исполнено – 7,2 млн. руб. Кроме того, в сентябре доведены субсидии из федерального и областного бюджетов на государственную поддержку малого и среднего предпринимательства в объеме 14,5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</w:t>
      </w:r>
    </w:p>
    <w:p w:rsidR="00473A4D" w:rsidRPr="00ED60CC" w:rsidRDefault="00473A4D" w:rsidP="00473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0CC">
        <w:rPr>
          <w:rFonts w:ascii="Times New Roman" w:hAnsi="Times New Roman" w:cs="Times New Roman"/>
          <w:sz w:val="28"/>
          <w:szCs w:val="28"/>
        </w:rPr>
        <w:t xml:space="preserve">- на </w:t>
      </w:r>
      <w:r w:rsidRPr="00ED60CC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за прошедший период направлено 95,9% запланированных на год средств – 458,9 млн. руб., 128 % от уровня прошлого года, в связи с увеличением ФОТ: в 2018 году работникам бюджетной сферы, на основании повышения МРОТ с 01.05.2018, и по всем категориям работников с 01.01.2019г. на 5%. А также увеличением суммы выпадающих доходов организациям ЖКХ на  148,4 </w:t>
      </w:r>
      <w:r w:rsidRPr="00ED60CC">
        <w:rPr>
          <w:rFonts w:ascii="Times New Roman" w:hAnsi="Times New Roman" w:cs="Times New Roman"/>
          <w:sz w:val="28"/>
          <w:szCs w:val="28"/>
        </w:rPr>
        <w:lastRenderedPageBreak/>
        <w:t>млн. руб. (за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 xml:space="preserve">  2018г.предъявлено - 157,6 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., за   2019 г. предъявлено -306,0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.). Увеличение за  2019г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 xml:space="preserve">о сравнению с аналогичным периодом 2018г произошло за счет увеличения тарифа в среднем: по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 организации ООО "Водоканал" (c 24.10.2018): по водоснабжению на 33,6%, по водоотведению на 60,0%;  по теплоснабжающей организации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ООО"Теплоресурс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" (c 13.12.2018): по отоплению на 50,4%, по горячей воде на 50,0%; 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по АО Каскад-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  (с 12.12.2018): по отоплению на 11,8%, по горячей воде на 31,3%. В тоже время, постановлением Губернатора Кемеровской области от 26.12.2018 № 83-ПГ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Кемеровской области на 2019 год." утверждены предельные индексы изменения платы граждан за коммунальные услуги с 01.01.2019 – 1,7 %, с 01.07.2019 – 6,0 %.</w:t>
      </w:r>
      <w:proofErr w:type="gramEnd"/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расходы по статье </w:t>
      </w:r>
      <w:r w:rsidRPr="00ED60CC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увеличились на 17,1% к уровню соответствующего периода прошлого года и составили 1439,8 млн. руб. – 99,8% годового задания. Рост произошел в связи с увеличением ФОТ: в 2018 году работникам бюджетной сферы, на основании повышения МРОТ с 01.05.2018, медицинским и педагогическим работникам дополнительного и дошкольного образовательных учреждений с 01.09.2018, и по всем категориям работников с 01.01.2019г. на 5%. Выполнены работы по реконструкции и капитальному ремонту образовательных организаций (МБОУ «СОШ № 3 с УИОП им.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Г.Панфилова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») на 137,5 млн руб.; Реализован проект инициативного бюджетирования "Твой Кузбасс - твоя инициатива"- отремонтирован актовый зал в МБОУ «ООШ № 17» на сумму 2,3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 xml:space="preserve">- по разделу </w:t>
      </w:r>
      <w:r w:rsidRPr="00ED60CC">
        <w:rPr>
          <w:rFonts w:ascii="Times New Roman" w:hAnsi="Times New Roman" w:cs="Times New Roman"/>
          <w:i/>
          <w:sz w:val="28"/>
          <w:szCs w:val="28"/>
        </w:rPr>
        <w:t>«Культура»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расходы увеличились на 11,9% от аналогичного периода 2018 года и составили 121,3 млн. руб. или 96,0% от годового объема, рост произошел в связи с увеличением ФОТ: в 2018 году работникам бюджетной сферы, на основании повышения МРОТ с 01.05.2018, работникам учреждений культуры с 01.09.2018, и по всем категориям работников с 01.01.2019г. на 5%.;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 xml:space="preserve"> из федерального бюджета выделены средства на «Создание виртуальных концертных залов»- 5,6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расходы по статье </w:t>
      </w:r>
      <w:r w:rsidRPr="00ED60CC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составили 99,2% от запланированных годовых затрат – 1124,7 млн. руб., по сравнению с  аналогичным периодом 2018 года расходы выросли на 11,2% за счет увеличения исполнения расходов по реализации мероприятий по обеспечению жильем молодых семей, детей- сирот, ветеранов, инвалидов,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соц.категорий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, межбюджетному трансферту «Реализация программ местного развития и обеспечение занятости для шахтерских городов и поселков», (2019г. – 382,4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., 2018г. – 321,8 млн. руб.); мер </w:t>
      </w:r>
      <w:r w:rsidRPr="00ED60CC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поддержки с 759,7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. в 2018 году до 785,8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 в 2019 году;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по разделу </w:t>
      </w:r>
      <w:r w:rsidRPr="00ED60CC">
        <w:rPr>
          <w:rFonts w:ascii="Times New Roman" w:hAnsi="Times New Roman" w:cs="Times New Roman"/>
          <w:i/>
          <w:sz w:val="28"/>
          <w:szCs w:val="28"/>
        </w:rPr>
        <w:t>«Физическая культура и спорт»</w:t>
      </w:r>
      <w:r w:rsidRPr="00ED60CC">
        <w:rPr>
          <w:rFonts w:ascii="Times New Roman" w:hAnsi="Times New Roman" w:cs="Times New Roman"/>
          <w:sz w:val="28"/>
          <w:szCs w:val="28"/>
        </w:rPr>
        <w:t xml:space="preserve"> расходы увеличились более чем в 2 раза и составили 85,1 млн. руб., 99,9% планируемого на год объема. 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Увеличение связано с изменением типа учреждения и переходом «СШОР» из раздела «образование» в раздел «физическая культура», а также с увеличением ФОТ: в 2018 году работникам бюджетной сферы, на основании повышения МРОТ с 01.05.2018, и по всем категориям работников с 01.01.2019г. на 5%. По федеральной программе  «Государственная поддержка спортивных организаций, осуществляющих подготовку спортивного резерва для сборных команд Российской Федерации» приобретен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 xml:space="preserve"> автобус- 3,6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. В рамках областной программы «Развитие физической культуры и спорта» приобретен спортивный инвентарь на сумму 0,8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</w:t>
      </w:r>
    </w:p>
    <w:p w:rsidR="00473A4D" w:rsidRPr="00ED60CC" w:rsidRDefault="00473A4D" w:rsidP="00473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по разделу </w:t>
      </w:r>
      <w:r w:rsidRPr="00ED60CC">
        <w:rPr>
          <w:rFonts w:ascii="Times New Roman" w:hAnsi="Times New Roman" w:cs="Times New Roman"/>
          <w:i/>
          <w:sz w:val="28"/>
          <w:szCs w:val="28"/>
        </w:rPr>
        <w:t xml:space="preserve">«Средства массовой информации» </w:t>
      </w:r>
      <w:r w:rsidRPr="00ED60CC">
        <w:rPr>
          <w:rFonts w:ascii="Times New Roman" w:hAnsi="Times New Roman" w:cs="Times New Roman"/>
          <w:sz w:val="28"/>
          <w:szCs w:val="28"/>
        </w:rPr>
        <w:t xml:space="preserve">появилась новая субсидия на возмещение затрат, связанных с опубликованием официальных документов и информации о деятельности органов местного самоуправления в печатных средствах массовой информации. Исполнение составило 1,0 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.- 76,9%  запланированной на год суммы. </w:t>
      </w:r>
    </w:p>
    <w:p w:rsidR="00473A4D" w:rsidRPr="00ED60CC" w:rsidRDefault="00473A4D" w:rsidP="00473A4D">
      <w:pPr>
        <w:pStyle w:val="22"/>
        <w:shd w:val="clear" w:color="auto" w:fill="auto"/>
        <w:tabs>
          <w:tab w:val="left" w:leader="underscore" w:pos="1606"/>
        </w:tabs>
        <w:spacing w:before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на расходы по разделу </w:t>
      </w:r>
      <w:r w:rsidRPr="00ED60CC">
        <w:rPr>
          <w:rFonts w:ascii="Times New Roman" w:hAnsi="Times New Roman" w:cs="Times New Roman"/>
          <w:i/>
          <w:sz w:val="28"/>
          <w:szCs w:val="28"/>
        </w:rPr>
        <w:t xml:space="preserve">«Обслуживание государственного и муниципального долга» </w:t>
      </w:r>
      <w:r w:rsidRPr="00ED60CC">
        <w:rPr>
          <w:rFonts w:ascii="Times New Roman" w:hAnsi="Times New Roman" w:cs="Times New Roman"/>
          <w:sz w:val="28"/>
          <w:szCs w:val="28"/>
        </w:rPr>
        <w:t>направлено 2,6 млн. руб. – 100,0% от годового плана или 74,3% уровня аналогичного периода прошлого года, снижение произошло в связи с заключением дополнительного соглашения по коммерческому кредиту и понижению процентной ставки с 27.06.2018 с 10,5% годовых до 8,8% годовых. А так же привлечением бюджетного кредита договор № ДО-2019-09 от 17.06.2019 в сумме 12 866 630 рублей для частичного покрытия дефицита в целях погашения долговых обязатель</w:t>
      </w:r>
      <w:proofErr w:type="gramStart"/>
      <w:r w:rsidRPr="00ED60C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D60CC">
        <w:rPr>
          <w:rFonts w:ascii="Times New Roman" w:hAnsi="Times New Roman" w:cs="Times New Roman"/>
          <w:sz w:val="28"/>
          <w:szCs w:val="28"/>
        </w:rPr>
        <w:t>я снижения расходов на обслуживание муниципального долга и поддержания умеренной долговой нагрузки.</w:t>
      </w:r>
    </w:p>
    <w:p w:rsidR="00473A4D" w:rsidRPr="00ED60CC" w:rsidRDefault="00473A4D" w:rsidP="00473A4D">
      <w:pPr>
        <w:pStyle w:val="a5"/>
        <w:ind w:firstLine="720"/>
        <w:rPr>
          <w:szCs w:val="28"/>
        </w:rPr>
      </w:pPr>
    </w:p>
    <w:p w:rsidR="00473A4D" w:rsidRPr="00ED60CC" w:rsidRDefault="00473A4D" w:rsidP="00473A4D">
      <w:pPr>
        <w:pStyle w:val="a5"/>
        <w:ind w:firstLine="720"/>
        <w:rPr>
          <w:szCs w:val="28"/>
        </w:rPr>
      </w:pPr>
      <w:r w:rsidRPr="00ED60CC">
        <w:rPr>
          <w:szCs w:val="28"/>
        </w:rPr>
        <w:t>Как и в предыдущем году, наибольшая доля расходов бюджета приходится на образование (38,6 %), социальную политику (30,2 %), жилищно-коммунальное хозяйство 12,3 %), национальную экономику 8,1 %), и далее идут: общегосударственные вопросы (4,9 %), культура (3,3 %), физкультура- (2,3 %). Менее 1 % в доле расходов приходится на национальную безопасность и правоохранительную деятельность (0,3 %), обслуживание государственного и муниципального долга (0,1%), средства массовой информации- 0,027%.</w:t>
      </w:r>
    </w:p>
    <w:p w:rsidR="00473A4D" w:rsidRPr="00ED60CC" w:rsidRDefault="00473A4D" w:rsidP="00473A4D">
      <w:pPr>
        <w:pStyle w:val="a5"/>
        <w:ind w:firstLine="720"/>
        <w:rPr>
          <w:szCs w:val="28"/>
        </w:rPr>
      </w:pPr>
    </w:p>
    <w:p w:rsidR="00473A4D" w:rsidRPr="00ED60CC" w:rsidRDefault="00473A4D" w:rsidP="00473A4D">
      <w:pPr>
        <w:pStyle w:val="a5"/>
        <w:ind w:firstLine="720"/>
        <w:rPr>
          <w:szCs w:val="28"/>
        </w:rPr>
      </w:pPr>
      <w:r w:rsidRPr="00ED60CC">
        <w:rPr>
          <w:szCs w:val="28"/>
        </w:rPr>
        <w:t>На финансирование отраслей социальной направленности, к которым относятся образование, культура, социальная политика, спорт было направлено 2390,3 млн. руб., это 73,6 % от общего объема.</w:t>
      </w:r>
    </w:p>
    <w:p w:rsidR="00473A4D" w:rsidRPr="00ED60CC" w:rsidRDefault="00473A4D" w:rsidP="00473A4D">
      <w:pPr>
        <w:pStyle w:val="a5"/>
        <w:ind w:firstLine="720"/>
        <w:rPr>
          <w:szCs w:val="28"/>
        </w:rPr>
      </w:pPr>
      <w:r w:rsidRPr="00ED60CC">
        <w:rPr>
          <w:szCs w:val="28"/>
        </w:rPr>
        <w:t xml:space="preserve">На финансирование направлений экономического характера, к которым относятся разделы «Национальная экономика», «Жилищно- </w:t>
      </w:r>
      <w:r w:rsidRPr="00ED60CC">
        <w:rPr>
          <w:szCs w:val="28"/>
        </w:rPr>
        <w:lastRenderedPageBreak/>
        <w:t>коммунальное хозяйство» было направлено 616,0 млн. руб., их доля в расходах – 25,8 %.</w:t>
      </w:r>
    </w:p>
    <w:p w:rsidR="00473A4D" w:rsidRPr="00ED60CC" w:rsidRDefault="00473A4D" w:rsidP="00473A4D">
      <w:pPr>
        <w:pStyle w:val="a5"/>
        <w:ind w:firstLine="720"/>
        <w:rPr>
          <w:szCs w:val="28"/>
        </w:rPr>
      </w:pPr>
      <w:r w:rsidRPr="00ED60CC">
        <w:rPr>
          <w:szCs w:val="28"/>
        </w:rPr>
        <w:t>По прочим разделам профинансировано:</w:t>
      </w:r>
    </w:p>
    <w:p w:rsidR="00473A4D" w:rsidRPr="00ED60CC" w:rsidRDefault="00473A4D" w:rsidP="00473A4D">
      <w:pPr>
        <w:pStyle w:val="a5"/>
        <w:ind w:firstLine="720"/>
        <w:rPr>
          <w:szCs w:val="28"/>
        </w:rPr>
      </w:pPr>
      <w:r w:rsidRPr="00ED60CC">
        <w:rPr>
          <w:szCs w:val="28"/>
        </w:rPr>
        <w:t>- на решение «Общегосударственных вопросов» - 154,8 млн. руб., в общем объеме занимают- 4,9 %, (93,8 % к уровню прошлого года);</w:t>
      </w:r>
    </w:p>
    <w:p w:rsidR="00473A4D" w:rsidRPr="00ED60CC" w:rsidRDefault="00473A4D" w:rsidP="00473A4D">
      <w:pPr>
        <w:pStyle w:val="a5"/>
        <w:ind w:firstLine="720"/>
        <w:rPr>
          <w:szCs w:val="28"/>
        </w:rPr>
      </w:pPr>
      <w:r w:rsidRPr="00ED60CC">
        <w:rPr>
          <w:szCs w:val="28"/>
        </w:rPr>
        <w:t>- по разделу «национальная безопасность и правоохранительная деятельность» - 7,7 млн. руб. – 98,3 % от плана, 53,1 % от прошлого года.</w:t>
      </w:r>
    </w:p>
    <w:p w:rsidR="00473A4D" w:rsidRPr="00ED60CC" w:rsidRDefault="00473A4D" w:rsidP="00473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- финансирование на «Обслуживание государственного и муниципального долга» - 3,5 млн. руб. – 100,0 % от годового плана. Исполнение согласно фактических расходов.</w:t>
      </w:r>
    </w:p>
    <w:p w:rsidR="00473A4D" w:rsidRPr="00ED60CC" w:rsidRDefault="00473A4D" w:rsidP="00473A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03A7" w:rsidRPr="00ED60CC" w:rsidRDefault="00AB03A7" w:rsidP="00E11B0A">
      <w:pPr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3260"/>
        <w:gridCol w:w="1780"/>
        <w:gridCol w:w="1860"/>
        <w:gridCol w:w="1640"/>
        <w:gridCol w:w="1640"/>
      </w:tblGrid>
      <w:tr w:rsidR="00ED60CC" w:rsidRPr="00ED60CC" w:rsidTr="001F5EA5">
        <w:trPr>
          <w:trHeight w:val="46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</w:t>
            </w: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разделов БК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EA5" w:rsidRPr="00ED60CC" w:rsidRDefault="00E11B0A" w:rsidP="001F5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1F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bookmarkStart w:id="0" w:name="_GoBack"/>
            <w:bookmarkEnd w:id="0"/>
          </w:p>
        </w:tc>
      </w:tr>
      <w:tr w:rsidR="00ED60CC" w:rsidRPr="00ED60CC" w:rsidTr="00E11B0A">
        <w:trPr>
          <w:trHeight w:val="10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исполне-ния</w:t>
            </w:r>
            <w:proofErr w:type="spellEnd"/>
            <w:proofErr w:type="gramEnd"/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в доле расходов</w:t>
            </w:r>
          </w:p>
        </w:tc>
      </w:tr>
      <w:tr w:rsidR="00ED60CC" w:rsidRPr="00ED60CC" w:rsidTr="00E11B0A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ED60CC" w:rsidRPr="00ED60CC" w:rsidTr="00E11B0A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D60CC" w:rsidRPr="00ED60CC" w:rsidTr="00E11B0A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302,4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ED60CC" w:rsidRPr="00ED60CC" w:rsidTr="00E11B0A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478,7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458,9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ED60CC" w:rsidRPr="00ED60CC" w:rsidTr="00E11B0A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1 443,1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1 439,8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ED60CC" w:rsidRPr="00ED60CC" w:rsidTr="00E11B0A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121,3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D60CC" w:rsidRPr="00ED60CC" w:rsidTr="00E11B0A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1 134,3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1 124,7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ED60CC" w:rsidRPr="00ED60CC" w:rsidTr="00E11B0A">
        <w:trPr>
          <w:trHeight w:val="7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ED60CC" w:rsidRPr="00ED60CC" w:rsidTr="00E11B0A">
        <w:trPr>
          <w:trHeight w:val="7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0,027</w:t>
            </w:r>
          </w:p>
        </w:tc>
      </w:tr>
      <w:tr w:rsidR="00ED60CC" w:rsidRPr="00ED60CC" w:rsidTr="00E11B0A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D60CC" w:rsidRPr="00ED60CC" w:rsidTr="00E11B0A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3 774,1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3 729,0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A" w:rsidRPr="00ED60CC" w:rsidRDefault="00E11B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E11B0A" w:rsidRPr="00ED60CC" w:rsidRDefault="00E11B0A" w:rsidP="00E11B0A">
      <w:pPr>
        <w:autoSpaceDE w:val="0"/>
        <w:autoSpaceDN w:val="0"/>
        <w:adjustRightInd w:val="0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За 2019год общее количество учреждений уменьшилось на 1 единицу и составило 81 муниципальных учреждения, в том числе 16 казенных, 58 бюджетных, 7 автономных. </w:t>
      </w:r>
    </w:p>
    <w:p w:rsidR="00E11B0A" w:rsidRPr="00ED60CC" w:rsidRDefault="00E11B0A" w:rsidP="00E11B0A">
      <w:pPr>
        <w:autoSpaceDE w:val="0"/>
        <w:autoSpaceDN w:val="0"/>
        <w:adjustRightInd w:val="0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В 2019 году - МБУ дополнительного образования Анжеро-Судженского городского округа детско-юношеская спортивная школа "Сибиряк" переименована в МБФСУ Анжеро-Судженского городского округа спортивную школу "Сибиряк"- из учреждения дополнительного образования в физкультурно-спортивное учреждение.</w:t>
      </w:r>
    </w:p>
    <w:p w:rsidR="00E11B0A" w:rsidRPr="00ED60CC" w:rsidRDefault="00E11B0A" w:rsidP="00E11B0A">
      <w:pPr>
        <w:autoSpaceDE w:val="0"/>
        <w:autoSpaceDN w:val="0"/>
        <w:adjustRightInd w:val="0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С 22.07.2019г. реорганизовано учреждение МБУ "АДС-05" путем присоединения к МКУ "</w:t>
      </w:r>
      <w:proofErr w:type="spellStart"/>
      <w:r w:rsidRPr="00ED60CC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 xml:space="preserve">"  и переименовано в МБУ Анжеро-Судженского городского округа «Управление по делам гражданской обороны, защите населения и территории от чрезвычайных ситуаций». </w:t>
      </w:r>
    </w:p>
    <w:p w:rsidR="00E11B0A" w:rsidRPr="00ED60CC" w:rsidRDefault="00E11B0A" w:rsidP="00E11B0A">
      <w:pPr>
        <w:autoSpaceDE w:val="0"/>
        <w:autoSpaceDN w:val="0"/>
        <w:adjustRightInd w:val="0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Участников бюджетного процесса (органов власти)  9 единиц, в том числе: Администрация Анжеро-Судженского городского округа, Совет народных депутатов, Контрольно-счетная палата, Управление образования, Управление культуры, КУМИ, УЖКХ, Комитет физической культуры и спорта, Управление социальной защиты населения.</w:t>
      </w:r>
    </w:p>
    <w:p w:rsidR="000C025B" w:rsidRPr="00ED60CC" w:rsidRDefault="000C025B" w:rsidP="00E44989">
      <w:pPr>
        <w:pStyle w:val="a5"/>
        <w:ind w:firstLine="720"/>
        <w:rPr>
          <w:szCs w:val="28"/>
        </w:rPr>
      </w:pPr>
      <w:r w:rsidRPr="00ED60CC">
        <w:rPr>
          <w:szCs w:val="28"/>
        </w:rPr>
        <w:t>Бюджет сформирован  в «программном» формате на основе 14 муниципальных программ, охватывающих все сферы деятельности, доля программных расходов в бюджете составляет - 99,7%.  Каждая муниципальная программа увязывает бюджетные ассигнования с результатами их использования для достижения заявленных целей. Внепрограммные расходы составляют 0,3% от всех расходов.</w:t>
      </w:r>
    </w:p>
    <w:p w:rsidR="008E2441" w:rsidRPr="00ED60CC" w:rsidRDefault="008E2441" w:rsidP="008E24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>Объем муниципального долга на 31.12.2019г. составляет 10,6% от доходов бюджета без учета объема безвозмездных поступлений, что соответствует ограничениям, установленным п.3 ст.107 БК РФ (&lt;100%). Долговая нагрузка, по сравнени</w:t>
      </w:r>
      <w:r w:rsidR="00FF5FFC">
        <w:rPr>
          <w:rFonts w:ascii="Times New Roman" w:eastAsia="Calibri" w:hAnsi="Times New Roman" w:cs="Times New Roman"/>
          <w:sz w:val="28"/>
          <w:szCs w:val="28"/>
        </w:rPr>
        <w:t>ю с 2018 годом возросла на 29356,1</w:t>
      </w:r>
      <w:r w:rsidRPr="00ED60CC">
        <w:rPr>
          <w:rFonts w:ascii="Times New Roman" w:eastAsia="Calibri" w:hAnsi="Times New Roman" w:cs="Times New Roman"/>
          <w:sz w:val="28"/>
          <w:szCs w:val="28"/>
        </w:rPr>
        <w:t>т.р.: муниципальный долг составлял на 31.12.2018г. – 36892,8т.р., на 31.12.2019г. – 66248,9т.р. Увеличение долговой нагрузки на 4,2%</w:t>
      </w:r>
      <w:r w:rsidR="00FF5FFC">
        <w:rPr>
          <w:rFonts w:ascii="Times New Roman" w:eastAsia="Calibri" w:hAnsi="Times New Roman" w:cs="Times New Roman"/>
          <w:sz w:val="28"/>
          <w:szCs w:val="28"/>
        </w:rPr>
        <w:t>, по сравнению с 2018 годом,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 произошло в результате получения в 2019 году муниципальным образованием Анжеро-Судженский городской округ двух бюджетных кредитов из вышестоящего бюджета субъекта РФ на частичное покрытие дефицита бюджета в объеме 42 866,6 тыс. рублей под 0,1% годовых.</w:t>
      </w:r>
    </w:p>
    <w:p w:rsidR="008E2441" w:rsidRPr="00ED60CC" w:rsidRDefault="008E2441" w:rsidP="008E24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>В отличие от сравниваемого периода 2018 года, изменился качественный состав муниципального долга:</w:t>
      </w:r>
    </w:p>
    <w:p w:rsidR="008E2441" w:rsidRPr="00ED60CC" w:rsidRDefault="008E2441" w:rsidP="008E244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60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D60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2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776"/>
      </w:tblGrid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Муниципальный долг, состав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2019 год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изменения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3D526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</w:t>
            </w:r>
            <w:r w:rsidR="008E2441" w:rsidRPr="00ED60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кредитам от кредитных организаций: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36610,8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23744,2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-12866,6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коммерческий кредит, предоставленный в 2017 году </w:t>
            </w: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ПАО «Сбербанк России» (под 8,8% годовых)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36610,8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23744,2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-12866,6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3D5261" w:rsidP="003D526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</w:t>
            </w:r>
            <w:r w:rsidR="008E2441" w:rsidRPr="00ED60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бюджетным кредитам: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42504,7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42222,7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остаток бюджетного кредита после реструктуризации (соглашение от 01.11.2017г. № 30/02 о реструктуризации задолженности муниципального образования "Анжеро-Судженский городской округ" перед областным бюджетом по бюджетным кредитам, процентная ставка – 0,1%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-282,0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остаток бюджетного кредита, предоставленного из областного бюджета для частичного покрытия дефицита бюджета в целях погашения долговых обязательств (договор от 17.06.2019г. № ДО-2019-09), процентная ставка – 0,1% (12866,6 </w:t>
            </w:r>
            <w:proofErr w:type="spellStart"/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. получено – 361,9 </w:t>
            </w:r>
            <w:proofErr w:type="spellStart"/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погашено по графику погашения бюджетного кредита в 2019 году).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12504,7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12504,7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бюджетный кредит, предоставленный из областного бюджета для частичного покрытия дефицита бюджета (договор от 14.11.2019г. № Д-2019-13), процентная ставка – 0,1%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30000</w:t>
            </w:r>
          </w:p>
        </w:tc>
      </w:tr>
      <w:tr w:rsidR="00ED60CC" w:rsidRPr="00ED60CC" w:rsidTr="003D526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 муниципальный долг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36892,8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66248,9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ED60CC" w:rsidRDefault="008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60C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29356,1</w:t>
            </w:r>
          </w:p>
        </w:tc>
      </w:tr>
    </w:tbl>
    <w:p w:rsidR="008E2441" w:rsidRPr="00ED60CC" w:rsidRDefault="008E2441" w:rsidP="008E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441" w:rsidRPr="00ED60CC" w:rsidRDefault="008E2441" w:rsidP="003D526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>Доля расходов на обслуживание муниципального долга составила на 31.12.2019г.  - 0,12%, что на 0,08</w:t>
      </w:r>
      <w:r w:rsidR="00381CE3" w:rsidRPr="00ED60CC">
        <w:rPr>
          <w:rFonts w:ascii="Times New Roman" w:eastAsia="Calibri" w:hAnsi="Times New Roman" w:cs="Times New Roman"/>
          <w:sz w:val="28"/>
          <w:szCs w:val="28"/>
        </w:rPr>
        <w:t xml:space="preserve">% меньше, чем за 2018г. (0,20%), что соответствует требованиям статьи 111 Бюджетного кодекса по предельному размеру расходов на обслуживание муниципального долга (не более 15% от объема расходов без учета расходов, осуществляемых за счет субвенций). 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Снижение </w:t>
      </w:r>
      <w:r w:rsidR="00381CE3" w:rsidRPr="00ED60CC">
        <w:rPr>
          <w:rFonts w:ascii="Times New Roman" w:eastAsia="Calibri" w:hAnsi="Times New Roman" w:cs="Times New Roman"/>
          <w:sz w:val="28"/>
          <w:szCs w:val="28"/>
        </w:rPr>
        <w:t>доли произошло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 за счет снижения расходов на обслуживание муниципального долга на 897,0 тыс. рублей (с 3524,2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– на 31.12.2018г. до 2627,2 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– на 31.12.2019г.), связанного с получением из вышестоящего бюджета субъекта РФ двух бюджетных кредитов (под 0,1% годовых) в объеме 42866,6 тыс. рублей и одновременного гашения части коммерческого кредита (предоставленного под 8,8% годовых), за счет бюджетного кредита, предоставленного в целях погашения долговых обязательств (под 0,1% годовых) в объеме - 12866,3тыс.рублей. </w:t>
      </w:r>
    </w:p>
    <w:p w:rsidR="008E2441" w:rsidRPr="00ED60CC" w:rsidRDefault="008E2441" w:rsidP="003D526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Ст. 107.1. Бюджетного кодекса РФ определен порядок оценки долговой устойчивости муниципального образования. 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Отнесение 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муниципальных образований к группам заемщиков, указанным в </w:t>
      </w:r>
      <w:hyperlink r:id="rId5" w:history="1">
        <w:r w:rsidRPr="00ED60CC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п. 2</w:t>
        </w:r>
      </w:hyperlink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107.1 БК РФ является основанием для предъявления требований, в зависимости от уровня долговой устойчивости.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определения </w:t>
      </w:r>
      <w:r w:rsidRPr="00ED60CC">
        <w:rPr>
          <w:rFonts w:ascii="Times New Roman" w:eastAsia="Calibri" w:hAnsi="Times New Roman" w:cs="Times New Roman"/>
          <w:sz w:val="28"/>
          <w:szCs w:val="28"/>
        </w:rPr>
        <w:t>оценки долговой устойчивости произведен расчет следующих показателей: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1) объем муниципального долга к общему объему доходов 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лиц: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Расчет: 662 48,9 тыс. рублей (муниципальный долг) / (3 669 737,0 тыс. рублей (исполнение по доходам) – 3 044 533,3 тыс. рублей (безвозмездные поступления) - 272 875,3 (поступления налоговых доходов по дополнительным нормативам отчислений)) * 100 = </w:t>
      </w:r>
      <w:r w:rsidRPr="00ED60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18,8%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показатель 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более 50 процентов);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2) 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местного бюджета и дотаций из бюджетов бюджетной системы Российской Федерации: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60CC">
        <w:rPr>
          <w:rFonts w:ascii="Times New Roman" w:eastAsia="Calibri" w:hAnsi="Times New Roman" w:cs="Times New Roman"/>
          <w:sz w:val="28"/>
          <w:szCs w:val="28"/>
        </w:rPr>
        <w:t>Расчет: (282,0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>+ 2627,2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>+ 361,9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ED60CC">
        <w:rPr>
          <w:rFonts w:ascii="Times New Roman" w:eastAsia="Calibri" w:hAnsi="Times New Roman" w:cs="Times New Roman"/>
          <w:sz w:val="28"/>
          <w:szCs w:val="28"/>
        </w:rPr>
        <w:t>) / (625 203,6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 + 820 973,0 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>тыс. рублей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) * 100 = </w:t>
      </w:r>
      <w:r w:rsidRPr="00ED60CC">
        <w:rPr>
          <w:rFonts w:ascii="Times New Roman" w:eastAsia="Calibri" w:hAnsi="Times New Roman" w:cs="Times New Roman"/>
          <w:b/>
          <w:sz w:val="28"/>
          <w:szCs w:val="28"/>
        </w:rPr>
        <w:t>0,2%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 (показатель 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более 13 процентов)</w:t>
      </w:r>
      <w:r w:rsidRPr="00ED60C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8E2441" w:rsidRPr="00ED60CC" w:rsidRDefault="008E2441" w:rsidP="003D5261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0CC">
        <w:rPr>
          <w:rFonts w:ascii="Times New Roman" w:eastAsia="Calibri" w:hAnsi="Times New Roman" w:cs="Times New Roman"/>
          <w:i/>
          <w:sz w:val="28"/>
          <w:szCs w:val="28"/>
        </w:rPr>
        <w:t>282,0 тыс. рублей (погашение бюджетного кредита за 2019 год в соответствии с соглашением от 01.11.2017г. № 30/02 о реструктуризации задолженности муниципального образования "Анжеро-Судженский городской округ" перед областным бюджетом по бюджетным кредитам);</w:t>
      </w:r>
    </w:p>
    <w:p w:rsidR="008E2441" w:rsidRPr="00ED60CC" w:rsidRDefault="008E2441" w:rsidP="003D5261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0CC">
        <w:rPr>
          <w:rFonts w:ascii="Times New Roman" w:eastAsia="Calibri" w:hAnsi="Times New Roman" w:cs="Times New Roman"/>
          <w:i/>
          <w:sz w:val="28"/>
          <w:szCs w:val="28"/>
        </w:rPr>
        <w:t>2627,2 тыс. рублей (проценты за пользование бюджетным и коммерческим кредитом);</w:t>
      </w:r>
    </w:p>
    <w:p w:rsidR="008E2441" w:rsidRPr="00ED60CC" w:rsidRDefault="008E2441" w:rsidP="003D526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361,9 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>– сумма платежей по предоставленному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 из вышестоящего бюджета субъекта РФ 18.06.2019г. (договор от 17.06.2019г. № ДО-2019-09) бюджетного кредита (под 0,1% годовых) в объеме 12866,6 тыс. рублей по графику гашения на октябрь – декабрь 2019г. (120,6т.р. ежемесячно);</w:t>
      </w:r>
    </w:p>
    <w:p w:rsidR="008E2441" w:rsidRPr="00ED60CC" w:rsidRDefault="008E2441" w:rsidP="003D526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625 203,6 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>(исполнение по налоговым и неналоговым доходам бюджета на 31.12.2019г.);</w:t>
      </w:r>
    </w:p>
    <w:p w:rsidR="008E2441" w:rsidRPr="00ED60CC" w:rsidRDefault="008E2441" w:rsidP="003D526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820 973,0 </w:t>
      </w:r>
      <w:r w:rsidRPr="00ED60CC">
        <w:rPr>
          <w:rFonts w:ascii="Times New Roman" w:eastAsia="Calibri" w:hAnsi="Times New Roman" w:cs="Times New Roman"/>
          <w:i/>
          <w:sz w:val="28"/>
          <w:szCs w:val="28"/>
        </w:rPr>
        <w:t xml:space="preserve">тыс. рублей </w:t>
      </w:r>
      <w:r w:rsidRPr="00ED60CC">
        <w:rPr>
          <w:rFonts w:ascii="Times New Roman" w:eastAsia="Calibri" w:hAnsi="Times New Roman" w:cs="Times New Roman"/>
          <w:sz w:val="28"/>
          <w:szCs w:val="28"/>
        </w:rPr>
        <w:t>(исполнение по дотации бюджету городского округа на выравнивание бюджетной обеспеченности, на поддержку мер по обеспечению сбалансированности бюджетов).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3) доля расходов на обслуживание муниципального долга в общем объеме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Федерации: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Расчет: (2 627,2 тыс. рублей (расходы на обслуживание муниципального долга) / (3 728 996,8 тыс. рублей (исполнение по расходам бюджета всего) - 1 535 418,4 тыс. рублей (исполнение по расходам за счет субвенций)) * 100%) = </w:t>
      </w:r>
      <w:r w:rsidRPr="00ED60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0,12%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(показатель </w:t>
      </w:r>
      <w:r w:rsidRPr="00ED60C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более 5 процентов)</w:t>
      </w:r>
      <w:r w:rsidRPr="00ED60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441" w:rsidRPr="00ED60CC" w:rsidRDefault="008E2441" w:rsidP="003D5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0CC">
        <w:rPr>
          <w:rFonts w:ascii="Times New Roman" w:eastAsia="Calibri" w:hAnsi="Times New Roman" w:cs="Times New Roman"/>
          <w:sz w:val="28"/>
          <w:szCs w:val="28"/>
        </w:rPr>
        <w:t xml:space="preserve">Совокупность показателей, установленных БК РФ позволяют получить объективную оценку состояния долговой устойчивости муниципального образования. </w:t>
      </w:r>
    </w:p>
    <w:p w:rsidR="008E2441" w:rsidRPr="00ED60CC" w:rsidRDefault="008E2441" w:rsidP="003D52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D60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рассчитанным значениям показателей долговой устойчивости Анжеро-Судженский городской округ относится к группе заемщиков с высоким уровнем долговой устойчивости. </w:t>
      </w:r>
    </w:p>
    <w:p w:rsidR="00B04D35" w:rsidRPr="00ED60CC" w:rsidRDefault="006C4654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уделяется 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прозрачности и открытости бюджетного процесса, обеспечения вовлеченности граждан в бюджетный процесс. Финансовым управлением своевременно публикуется бюджет и отчет о его исполнении в доступной для граждан форме на официальном сайте Администрации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Анжеро-Судженского городского округа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Кроме того, на сайте публикуются другие материалы по бюджетному процессу и исполнению бюджета.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Всего в целях качественного и полного осуществления расходных обязате</w:t>
      </w:r>
      <w:r w:rsidR="006C4654" w:rsidRPr="00ED60CC">
        <w:rPr>
          <w:rFonts w:ascii="Times New Roman" w:eastAsia="Times New Roman" w:hAnsi="Times New Roman" w:cs="Times New Roman"/>
          <w:sz w:val="28"/>
          <w:szCs w:val="28"/>
        </w:rPr>
        <w:t>льств в 201</w:t>
      </w:r>
      <w:r w:rsidR="007B0889" w:rsidRPr="00ED60CC">
        <w:rPr>
          <w:rFonts w:ascii="Times New Roman" w:eastAsia="Times New Roman" w:hAnsi="Times New Roman" w:cs="Times New Roman"/>
          <w:sz w:val="28"/>
          <w:szCs w:val="28"/>
        </w:rPr>
        <w:t>9</w:t>
      </w:r>
      <w:r w:rsidR="006C4654"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году подготовлено 9 проектов решения Совета народных депутато</w:t>
      </w:r>
      <w:r w:rsidR="00FC393B" w:rsidRPr="00ED60CC">
        <w:rPr>
          <w:rFonts w:ascii="Times New Roman" w:eastAsia="Times New Roman" w:hAnsi="Times New Roman" w:cs="Times New Roman"/>
          <w:sz w:val="28"/>
          <w:szCs w:val="28"/>
        </w:rPr>
        <w:t>в о внесении изменений в бюджет, на которые получены положительные заключения прокуратуры и контрольно-счетной палаты Анжеро-Судженского городского округа. Подготовлен проект решения СНД об исполнении бюджета городского округа за 201</w:t>
      </w:r>
      <w:r w:rsidR="007B0889" w:rsidRPr="00ED60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393B"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проведена оценка качества управления финансами </w:t>
      </w:r>
      <w:r w:rsidR="006C4654" w:rsidRPr="00ED60CC">
        <w:rPr>
          <w:rFonts w:ascii="Times New Roman" w:eastAsia="Times New Roman" w:hAnsi="Times New Roman" w:cs="Times New Roman"/>
          <w:sz w:val="28"/>
          <w:szCs w:val="28"/>
        </w:rPr>
        <w:t xml:space="preserve">ГРБС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на основании проведения мониторинга качества финансового менеджмента.</w:t>
      </w:r>
    </w:p>
    <w:p w:rsidR="00FC393B" w:rsidRPr="00ED60CC" w:rsidRDefault="00FC393B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Постоянно велась методологическая работа с главными распорядителями бюджетных средств, в части планирования и исполнения бюджета.</w:t>
      </w:r>
    </w:p>
    <w:p w:rsidR="00103E34" w:rsidRPr="00ED60CC" w:rsidRDefault="00103E34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В соответствии с Порядком составления и ведения сводной бюджетной росписи бюджета Анжеро-Судженского городского округа и бюджетных росписей главных распорядителей средств бюджета округа и главных администраторов источников финансирования дефицита бюджета округа, в 201</w:t>
      </w:r>
      <w:r w:rsidR="007B0889" w:rsidRPr="00ED60CC">
        <w:rPr>
          <w:rFonts w:ascii="Times New Roman" w:hAnsi="Times New Roman" w:cs="Times New Roman"/>
          <w:sz w:val="28"/>
          <w:szCs w:val="28"/>
        </w:rPr>
        <w:t>9</w:t>
      </w:r>
      <w:r w:rsidRPr="00ED60CC">
        <w:rPr>
          <w:rFonts w:ascii="Times New Roman" w:hAnsi="Times New Roman" w:cs="Times New Roman"/>
          <w:sz w:val="28"/>
          <w:szCs w:val="28"/>
        </w:rPr>
        <w:t xml:space="preserve"> году специалистами Финансового управления сформирована сводная бюджетная роспись и своевременно вн</w:t>
      </w:r>
      <w:r w:rsidR="004447C5" w:rsidRPr="00ED60CC">
        <w:rPr>
          <w:rFonts w:ascii="Times New Roman" w:hAnsi="Times New Roman" w:cs="Times New Roman"/>
          <w:sz w:val="28"/>
          <w:szCs w:val="28"/>
        </w:rPr>
        <w:t>о</w:t>
      </w:r>
      <w:r w:rsidRPr="00ED60CC">
        <w:rPr>
          <w:rFonts w:ascii="Times New Roman" w:hAnsi="Times New Roman" w:cs="Times New Roman"/>
          <w:sz w:val="28"/>
          <w:szCs w:val="28"/>
        </w:rPr>
        <w:t>сились в течение отчетного периода изменения в сводную бюджетную роспись. Финансовым управлением сформированы и доведены до главных распорядителей бюджетных средств уведомления о предельных объемах финансирования. Вносились изменения в предельные объемы финансирования между направлениями расходов.</w:t>
      </w:r>
    </w:p>
    <w:p w:rsidR="00381891" w:rsidRPr="00ED60CC" w:rsidRDefault="00FC393B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Финансовым управлением г. Анжеро-Судженска ведется и своевременно предоставляется в Главное финансовое управление  Реестр расходных обязательств.</w:t>
      </w:r>
    </w:p>
    <w:p w:rsidR="00E32D6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</w:t>
      </w:r>
      <w:r w:rsidR="00381891" w:rsidRPr="00ED60CC">
        <w:rPr>
          <w:rFonts w:ascii="Times New Roman" w:eastAsia="Times New Roman" w:hAnsi="Times New Roman" w:cs="Times New Roman"/>
          <w:sz w:val="28"/>
          <w:szCs w:val="28"/>
        </w:rPr>
        <w:t xml:space="preserve">Анжеро-Судженского городского округа </w:t>
      </w:r>
      <w:r w:rsidR="007B0889" w:rsidRPr="00ED60CC">
        <w:rPr>
          <w:rFonts w:ascii="Times New Roman" w:eastAsia="Times New Roman" w:hAnsi="Times New Roman" w:cs="Times New Roman"/>
          <w:sz w:val="28"/>
          <w:szCs w:val="28"/>
        </w:rPr>
        <w:t xml:space="preserve"> финансовым управлением в 2019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формирование отчета об исполнении бюджета </w:t>
      </w:r>
      <w:r w:rsidR="00E32D65" w:rsidRPr="00ED60CC">
        <w:rPr>
          <w:rFonts w:ascii="Times New Roman" w:eastAsia="Times New Roman" w:hAnsi="Times New Roman" w:cs="Times New Roman"/>
          <w:sz w:val="28"/>
          <w:szCs w:val="28"/>
        </w:rPr>
        <w:t xml:space="preserve">Анжеро-Судженского городского округа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lastRenderedPageBreak/>
        <w:t>за 1 квартал, полугодие</w:t>
      </w:r>
      <w:r w:rsidR="00E00AD9" w:rsidRPr="00ED60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девять месяцев </w:t>
      </w:r>
      <w:r w:rsidR="00E00AD9" w:rsidRPr="00ED60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0AD9" w:rsidRPr="00ED60CC">
        <w:rPr>
          <w:rFonts w:ascii="Times New Roman" w:hAnsi="Times New Roman" w:cs="Times New Roman"/>
          <w:sz w:val="28"/>
          <w:szCs w:val="28"/>
        </w:rPr>
        <w:t>за очередной финансовый год</w:t>
      </w:r>
      <w:r w:rsidR="00E00AD9"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</w:t>
      </w:r>
      <w:r w:rsidR="00E32D65" w:rsidRPr="00ED60CC">
        <w:rPr>
          <w:rFonts w:ascii="Times New Roman" w:hAnsi="Times New Roman" w:cs="Times New Roman"/>
          <w:bCs/>
          <w:sz w:val="28"/>
          <w:szCs w:val="28"/>
        </w:rPr>
        <w:t>в Совет народных депутатов Анжеро-Судженского городского округа, Контрольно-счетную палату Анжеро-Судженского городского округа.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Консолидированная годовая бюджетная</w:t>
      </w:r>
      <w:r w:rsidR="007A1E14" w:rsidRPr="00ED60CC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бухгалтерская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 w:rsidR="007A1E14" w:rsidRPr="00ED60CC">
        <w:rPr>
          <w:rFonts w:ascii="Times New Roman" w:eastAsia="Times New Roman" w:hAnsi="Times New Roman" w:cs="Times New Roman"/>
          <w:sz w:val="28"/>
          <w:szCs w:val="28"/>
        </w:rPr>
        <w:t>Анжеро-Судженского городского округа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7B0889" w:rsidRPr="00ED60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 финансовым управлением представлена в 20</w:t>
      </w:r>
      <w:r w:rsidR="007B0889" w:rsidRPr="00ED60C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году в полном объеме предусмотренных форм и в срок, установленный </w:t>
      </w:r>
      <w:r w:rsidR="007A1E14" w:rsidRPr="00ED60CC">
        <w:rPr>
          <w:rFonts w:ascii="Times New Roman" w:hAnsi="Times New Roman" w:cs="Times New Roman"/>
          <w:sz w:val="28"/>
          <w:szCs w:val="28"/>
        </w:rPr>
        <w:t xml:space="preserve">Главным  финансовым управлением </w:t>
      </w:r>
      <w:r w:rsidR="007A1E14" w:rsidRPr="00ED60CC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D35" w:rsidRPr="00ED60CC" w:rsidRDefault="00E00AD9" w:rsidP="003D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ab/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Кроме того, финансовым управлением ежемесячно и ежеквартально осуществлялся прием и проверка на соответствие контрольным соотношениям бюджетной отчетности главных распорядителей средств </w:t>
      </w:r>
      <w:r w:rsidR="007A1E14" w:rsidRPr="00ED60C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 бюджета, сводной бухгалтерской отчетности муниципальных бюджетных учреждений. Также ежемесячно и ежеквартально в срок, установленный </w:t>
      </w:r>
      <w:r w:rsidR="003D627E"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02C" w:rsidRPr="00ED60CC">
        <w:rPr>
          <w:rFonts w:ascii="Times New Roman" w:hAnsi="Times New Roman" w:cs="Times New Roman"/>
          <w:sz w:val="28"/>
          <w:szCs w:val="28"/>
        </w:rPr>
        <w:t xml:space="preserve">Главным  финансовым управлением </w:t>
      </w:r>
      <w:r w:rsidR="00B7102C" w:rsidRPr="00ED60CC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 xml:space="preserve">, финансовым управлением формировалась и представлялась в полном объеме форм отчетность об исполнении консолидированного бюджета </w:t>
      </w:r>
      <w:r w:rsidR="00B7102C" w:rsidRPr="00ED60CC">
        <w:rPr>
          <w:rFonts w:ascii="Times New Roman" w:eastAsia="Times New Roman" w:hAnsi="Times New Roman" w:cs="Times New Roman"/>
          <w:sz w:val="28"/>
          <w:szCs w:val="28"/>
        </w:rPr>
        <w:t>Анжеро-Судженского городского округа</w:t>
      </w:r>
      <w:r w:rsidR="00B04D35" w:rsidRPr="00ED60CC">
        <w:rPr>
          <w:rFonts w:ascii="Times New Roman" w:eastAsia="Times New Roman" w:hAnsi="Times New Roman" w:cs="Times New Roman"/>
          <w:sz w:val="28"/>
          <w:szCs w:val="28"/>
        </w:rPr>
        <w:t>, сводная бухгалтерская отчетность муниципальных бюджетных учреждений.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результативности и эффективности использования бюджетных средств финансовым управлением ежемесячно по результатам сформированной бюджетной (бухгалтерской) отчетности осуществляется мониторинг просроченной кредиторской задолженности главных распорядителей средств </w:t>
      </w:r>
      <w:r w:rsidR="003D627E" w:rsidRPr="00ED60C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казенных учреждений </w:t>
      </w:r>
      <w:r w:rsidR="003D627E" w:rsidRPr="00ED60CC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E61F9" w:rsidRPr="00ED60CC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1229C6" w:rsidRPr="00ED60CC">
        <w:rPr>
          <w:rFonts w:ascii="Times New Roman" w:eastAsia="Times New Roman" w:hAnsi="Times New Roman" w:cs="Times New Roman"/>
          <w:sz w:val="28"/>
          <w:szCs w:val="28"/>
        </w:rPr>
        <w:t>росроченной задолженности за 201</w:t>
      </w:r>
      <w:r w:rsidR="007B0889" w:rsidRPr="00ED60CC">
        <w:rPr>
          <w:rFonts w:ascii="Times New Roman" w:eastAsia="Times New Roman" w:hAnsi="Times New Roman" w:cs="Times New Roman"/>
          <w:sz w:val="28"/>
          <w:szCs w:val="28"/>
        </w:rPr>
        <w:t>9</w:t>
      </w:r>
      <w:r w:rsidR="001229C6" w:rsidRPr="00ED60CC">
        <w:rPr>
          <w:rFonts w:ascii="Times New Roman" w:eastAsia="Times New Roman" w:hAnsi="Times New Roman" w:cs="Times New Roman"/>
          <w:sz w:val="28"/>
          <w:szCs w:val="28"/>
        </w:rPr>
        <w:t xml:space="preserve"> год нет.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9C6" w:rsidRPr="00ED60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акже</w:t>
      </w:r>
      <w:r w:rsidR="001229C6" w:rsidRPr="00ED60C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анализ 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остатков средств на лицевых счетах главных распорядителей средств </w:t>
      </w:r>
      <w:r w:rsidR="003D627E" w:rsidRPr="00ED60C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D60CC">
        <w:rPr>
          <w:rFonts w:ascii="Times New Roman" w:eastAsia="Times New Roman" w:hAnsi="Times New Roman" w:cs="Times New Roman"/>
          <w:sz w:val="28"/>
          <w:szCs w:val="28"/>
        </w:rPr>
        <w:t>, муниципальных казенных и бюджетных учреждений.</w:t>
      </w:r>
    </w:p>
    <w:p w:rsidR="00B04D35" w:rsidRPr="00ED60CC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>В целях оценки эффективности деятельности муниципальных бюджетных и автономных учреждений финансовое управление ежеквартально проводит анализ информации по доходам и расходам муниципальных учреждений от иной приносящей доход деятельности для последующего определения дополнительных резервов в виде внебюджетных источников.</w:t>
      </w:r>
    </w:p>
    <w:p w:rsidR="00F37128" w:rsidRPr="00ED60CC" w:rsidRDefault="00F37128" w:rsidP="00F371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Начиная с 11.03.2019, получатели бюджетных средств, муниципальные учреждения городского округа осуществляют расходование бюджетных средств с учетом казначейского сопровождения. В соответствии с распоряжением Правительства Российской Федерации от 28.02.2019 № 308-р «О казначейском сопровождении расчетов по контрактам (договорам) на поставку товаров, выполнение работ, оказание услуг, заключаемым в 2019 году» казначейскому сопровождению подлежат:</w:t>
      </w:r>
    </w:p>
    <w:p w:rsidR="00F37128" w:rsidRPr="00ED60CC" w:rsidRDefault="00F37128" w:rsidP="00F371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- расчеты по муниципальным контрактам (договорам) на поставку товаров, выполнение работ, оказание услуг, заключаемым в 2019 году получателями средств местного бюджета на сумму 10000 тыс. рублей и более, источником финансового обеспечения которых являются средства местного бюджета;</w:t>
      </w:r>
    </w:p>
    <w:p w:rsidR="00F37128" w:rsidRPr="00ED60CC" w:rsidRDefault="00F37128" w:rsidP="00F37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расчеты по контрактам (договорам) на поставку товаров, выполнение </w:t>
      </w:r>
      <w:r w:rsidRPr="00ED60CC">
        <w:rPr>
          <w:rFonts w:ascii="Times New Roman" w:hAnsi="Times New Roman" w:cs="Times New Roman"/>
          <w:sz w:val="28"/>
          <w:szCs w:val="28"/>
        </w:rPr>
        <w:lastRenderedPageBreak/>
        <w:t xml:space="preserve">работ, оказание услуг, заключаемым в 2019 году муниципальными бюджетными и автономными учреждениями городского округа  на сумму 10000 тыс. рублей и более, источником финансового обеспечения которых являются субсидии, предоставляемые в соответствии с </w:t>
      </w:r>
      <w:hyperlink r:id="rId6" w:history="1">
        <w:r w:rsidRPr="00ED60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ED60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D60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78.2</w:t>
        </w:r>
      </w:hyperlink>
      <w:r w:rsidRPr="00ED60C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37128" w:rsidRPr="00ED60CC" w:rsidRDefault="00F37128" w:rsidP="00F37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- бюджетные инвестиции, предоставляемые юридическим лицам из местного бюджета по договорам о предоставлении бюджетных инвестиций в соответствии со </w:t>
      </w:r>
      <w:hyperlink r:id="rId8" w:history="1">
        <w:r w:rsidRPr="00ED60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80</w:t>
        </w:r>
      </w:hyperlink>
      <w:r w:rsidRPr="00ED60C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37128" w:rsidRPr="00ED60CC" w:rsidRDefault="00F37128" w:rsidP="00F37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- расчеты по контрактам (договорам) на поставку товаров, выполнение работ, оказание услуг, заключаемых на сумму 300 тыс. рублей и более исполнителями и соисполнителями в рамках исполнения муниципальных контрактов (договоров), контрактов (договоров), договоров о предоставлении бюджетных инвестиций, источником финансового обеспечения которых являются средства местного бюджета.</w:t>
      </w:r>
    </w:p>
    <w:p w:rsidR="00F37128" w:rsidRPr="00ED60CC" w:rsidRDefault="00F37128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Финансовым управлением города для организации оперативной работы по внедрению казначейского сопровождения расчетов, организована работа по резервированию лицевых счетов </w:t>
      </w:r>
      <w:proofErr w:type="spellStart"/>
      <w:r w:rsidRPr="00ED60CC">
        <w:rPr>
          <w:rFonts w:ascii="Times New Roman" w:eastAsia="Times New Roman" w:hAnsi="Times New Roman" w:cs="Times New Roman"/>
          <w:sz w:val="28"/>
          <w:szCs w:val="28"/>
        </w:rPr>
        <w:t>неучастников</w:t>
      </w:r>
      <w:proofErr w:type="spellEnd"/>
      <w:r w:rsidRPr="00ED60C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процесса в Федеральном казначействе на основании обращений бюджетных учреждений</w:t>
      </w:r>
      <w:r w:rsidR="00101CF9" w:rsidRPr="00ED60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заключаемыми контрактами.</w:t>
      </w:r>
    </w:p>
    <w:p w:rsidR="00101CF9" w:rsidRPr="00ED60CC" w:rsidRDefault="00101CF9" w:rsidP="00101CF9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В сфере совершенствования управления расходами бюджета на осуществление закупок для муниципальных нужд с 01.01.2017 в целях реализации части 5 статьи 99 Федерального закона  от 05.04.2013 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соответствии с  постановлением администрации Анжеро-Судженского городского округа от 20.03.2017 № 538 «Об утверждении порядка взаимодействия финансового управления города Анжеро-Судженска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продолжает осуществляться в 2019 году контроль за соответствием:</w:t>
      </w:r>
    </w:p>
    <w:p w:rsidR="00101CF9" w:rsidRPr="00ED60CC" w:rsidRDefault="00101CF9" w:rsidP="00101CF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 xml:space="preserve"> - документации - информации, размещенной заказчиком в единой информационной системе в сфере закупок;</w:t>
      </w:r>
    </w:p>
    <w:p w:rsidR="00101CF9" w:rsidRPr="00ED60CC" w:rsidRDefault="00101CF9" w:rsidP="00101CF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-   объемов финансового обеспечения, включенного в планы закупок;</w:t>
      </w:r>
    </w:p>
    <w:p w:rsidR="00101CF9" w:rsidRPr="00ED60CC" w:rsidRDefault="00101CF9" w:rsidP="00101CF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- информации, размещенной в планах-графиках, информации содержащейся в планах закупок;</w:t>
      </w:r>
    </w:p>
    <w:p w:rsidR="00101CF9" w:rsidRPr="00ED60CC" w:rsidRDefault="00101CF9" w:rsidP="00101CF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0CC">
        <w:rPr>
          <w:rFonts w:ascii="Times New Roman" w:hAnsi="Times New Roman" w:cs="Times New Roman"/>
          <w:sz w:val="28"/>
          <w:szCs w:val="28"/>
        </w:rPr>
        <w:t>- информации в извещениях об осуществлении закупок, в документации о закупках, информации, содержащейся в планах-графиках; в протоколах определения поставщиков (подрядчиков, исполнителей),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 информации в реестре контрактов, заключенных заказчиками, условиям контрактов.</w:t>
      </w:r>
    </w:p>
    <w:p w:rsidR="00101CF9" w:rsidRDefault="00101CF9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8C1" w:rsidRDefault="00C838C1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C838C1" w:rsidRDefault="00C838C1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Анжеро-Судженска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Зачиняева</w:t>
      </w:r>
      <w:proofErr w:type="spellEnd"/>
    </w:p>
    <w:p w:rsidR="00C838C1" w:rsidRPr="00ED60CC" w:rsidRDefault="00C838C1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838C1" w:rsidRPr="00ED60CC" w:rsidSect="005151A0">
      <w:pgSz w:w="11906" w:h="16838" w:code="9"/>
      <w:pgMar w:top="340" w:right="1418" w:bottom="340" w:left="1418" w:header="403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35"/>
    <w:rsid w:val="000038A4"/>
    <w:rsid w:val="00007067"/>
    <w:rsid w:val="000129B4"/>
    <w:rsid w:val="00017953"/>
    <w:rsid w:val="00021C3A"/>
    <w:rsid w:val="00032592"/>
    <w:rsid w:val="00034216"/>
    <w:rsid w:val="00057E70"/>
    <w:rsid w:val="0006520A"/>
    <w:rsid w:val="00067F09"/>
    <w:rsid w:val="000A24EA"/>
    <w:rsid w:val="000A5540"/>
    <w:rsid w:val="000A7167"/>
    <w:rsid w:val="000C00E6"/>
    <w:rsid w:val="000C025B"/>
    <w:rsid w:val="000D276C"/>
    <w:rsid w:val="000F796C"/>
    <w:rsid w:val="00101CF9"/>
    <w:rsid w:val="00103E34"/>
    <w:rsid w:val="00106708"/>
    <w:rsid w:val="001229C6"/>
    <w:rsid w:val="001300A7"/>
    <w:rsid w:val="00140E10"/>
    <w:rsid w:val="00154F22"/>
    <w:rsid w:val="00160EEC"/>
    <w:rsid w:val="00167945"/>
    <w:rsid w:val="001807C1"/>
    <w:rsid w:val="00186981"/>
    <w:rsid w:val="0019447E"/>
    <w:rsid w:val="00196184"/>
    <w:rsid w:val="001C3454"/>
    <w:rsid w:val="001E0F4C"/>
    <w:rsid w:val="001E6B57"/>
    <w:rsid w:val="001E7CF2"/>
    <w:rsid w:val="001F5EA5"/>
    <w:rsid w:val="001F6A9A"/>
    <w:rsid w:val="002048F9"/>
    <w:rsid w:val="002131D0"/>
    <w:rsid w:val="00214D1E"/>
    <w:rsid w:val="0021689A"/>
    <w:rsid w:val="00220771"/>
    <w:rsid w:val="00240F28"/>
    <w:rsid w:val="00243F36"/>
    <w:rsid w:val="00245DB3"/>
    <w:rsid w:val="002649C2"/>
    <w:rsid w:val="0027699E"/>
    <w:rsid w:val="002907B4"/>
    <w:rsid w:val="002A0144"/>
    <w:rsid w:val="002B5446"/>
    <w:rsid w:val="002C51AA"/>
    <w:rsid w:val="002C7D5D"/>
    <w:rsid w:val="002E5C01"/>
    <w:rsid w:val="002F3E32"/>
    <w:rsid w:val="002F73C8"/>
    <w:rsid w:val="00301E9F"/>
    <w:rsid w:val="00310B9A"/>
    <w:rsid w:val="00313199"/>
    <w:rsid w:val="003158AB"/>
    <w:rsid w:val="00316445"/>
    <w:rsid w:val="00321159"/>
    <w:rsid w:val="00334AD9"/>
    <w:rsid w:val="00341DA3"/>
    <w:rsid w:val="003619E1"/>
    <w:rsid w:val="00362CA2"/>
    <w:rsid w:val="00362CE0"/>
    <w:rsid w:val="00373770"/>
    <w:rsid w:val="00381891"/>
    <w:rsid w:val="00381CE3"/>
    <w:rsid w:val="00397E41"/>
    <w:rsid w:val="003A2043"/>
    <w:rsid w:val="003A6A03"/>
    <w:rsid w:val="003B332D"/>
    <w:rsid w:val="003B3589"/>
    <w:rsid w:val="003C4AC3"/>
    <w:rsid w:val="003D5261"/>
    <w:rsid w:val="003D627E"/>
    <w:rsid w:val="00416FB8"/>
    <w:rsid w:val="0042051B"/>
    <w:rsid w:val="0042090D"/>
    <w:rsid w:val="00435655"/>
    <w:rsid w:val="004447C5"/>
    <w:rsid w:val="00445C92"/>
    <w:rsid w:val="00454698"/>
    <w:rsid w:val="00467ED7"/>
    <w:rsid w:val="00473417"/>
    <w:rsid w:val="00473A4D"/>
    <w:rsid w:val="00474100"/>
    <w:rsid w:val="0048211E"/>
    <w:rsid w:val="00483C7B"/>
    <w:rsid w:val="00486FFB"/>
    <w:rsid w:val="004A171F"/>
    <w:rsid w:val="004B496B"/>
    <w:rsid w:val="004E0CC8"/>
    <w:rsid w:val="004F0FF3"/>
    <w:rsid w:val="004F1008"/>
    <w:rsid w:val="0051215E"/>
    <w:rsid w:val="005151A0"/>
    <w:rsid w:val="00520816"/>
    <w:rsid w:val="005241C9"/>
    <w:rsid w:val="00564DBC"/>
    <w:rsid w:val="00592D9F"/>
    <w:rsid w:val="0059455C"/>
    <w:rsid w:val="005A5594"/>
    <w:rsid w:val="0062369E"/>
    <w:rsid w:val="006237E9"/>
    <w:rsid w:val="006270D7"/>
    <w:rsid w:val="00633F2E"/>
    <w:rsid w:val="00640774"/>
    <w:rsid w:val="006579E0"/>
    <w:rsid w:val="00683AF7"/>
    <w:rsid w:val="00692EFD"/>
    <w:rsid w:val="0069451D"/>
    <w:rsid w:val="006A68F9"/>
    <w:rsid w:val="006C1247"/>
    <w:rsid w:val="006C4654"/>
    <w:rsid w:val="006C6353"/>
    <w:rsid w:val="006D1E8A"/>
    <w:rsid w:val="006D5FA7"/>
    <w:rsid w:val="006E61F9"/>
    <w:rsid w:val="007024ED"/>
    <w:rsid w:val="00704530"/>
    <w:rsid w:val="00706550"/>
    <w:rsid w:val="0071057B"/>
    <w:rsid w:val="0071406B"/>
    <w:rsid w:val="00730409"/>
    <w:rsid w:val="007476ED"/>
    <w:rsid w:val="0075376E"/>
    <w:rsid w:val="007613BB"/>
    <w:rsid w:val="007654ED"/>
    <w:rsid w:val="007743E6"/>
    <w:rsid w:val="00791CAF"/>
    <w:rsid w:val="00796524"/>
    <w:rsid w:val="007A1E14"/>
    <w:rsid w:val="007A6737"/>
    <w:rsid w:val="007A6AD0"/>
    <w:rsid w:val="007A7D0F"/>
    <w:rsid w:val="007B0889"/>
    <w:rsid w:val="007B09BD"/>
    <w:rsid w:val="007D12E3"/>
    <w:rsid w:val="007D19E6"/>
    <w:rsid w:val="007D75F0"/>
    <w:rsid w:val="007F6445"/>
    <w:rsid w:val="00800990"/>
    <w:rsid w:val="00800F27"/>
    <w:rsid w:val="00831B36"/>
    <w:rsid w:val="00833945"/>
    <w:rsid w:val="008404CE"/>
    <w:rsid w:val="00844216"/>
    <w:rsid w:val="008463A7"/>
    <w:rsid w:val="00846AC1"/>
    <w:rsid w:val="008534CE"/>
    <w:rsid w:val="008558E9"/>
    <w:rsid w:val="0087075B"/>
    <w:rsid w:val="008761C2"/>
    <w:rsid w:val="00883E2E"/>
    <w:rsid w:val="008930FC"/>
    <w:rsid w:val="008C1055"/>
    <w:rsid w:val="008D5502"/>
    <w:rsid w:val="008D7075"/>
    <w:rsid w:val="008E075E"/>
    <w:rsid w:val="008E2441"/>
    <w:rsid w:val="008F6D73"/>
    <w:rsid w:val="00916F7D"/>
    <w:rsid w:val="00934A44"/>
    <w:rsid w:val="009A0534"/>
    <w:rsid w:val="009A4F27"/>
    <w:rsid w:val="009B42B7"/>
    <w:rsid w:val="009C71D2"/>
    <w:rsid w:val="00A01C96"/>
    <w:rsid w:val="00A0750A"/>
    <w:rsid w:val="00A22DE7"/>
    <w:rsid w:val="00A230DF"/>
    <w:rsid w:val="00A23556"/>
    <w:rsid w:val="00A3136A"/>
    <w:rsid w:val="00A56E55"/>
    <w:rsid w:val="00A63DA7"/>
    <w:rsid w:val="00A67C04"/>
    <w:rsid w:val="00A71BB2"/>
    <w:rsid w:val="00A80A16"/>
    <w:rsid w:val="00AB03A7"/>
    <w:rsid w:val="00AB0CCA"/>
    <w:rsid w:val="00AB319E"/>
    <w:rsid w:val="00AC06C3"/>
    <w:rsid w:val="00AC57E0"/>
    <w:rsid w:val="00AD1ADE"/>
    <w:rsid w:val="00AD2CEA"/>
    <w:rsid w:val="00AD6054"/>
    <w:rsid w:val="00B00C56"/>
    <w:rsid w:val="00B01C27"/>
    <w:rsid w:val="00B04D35"/>
    <w:rsid w:val="00B10BAF"/>
    <w:rsid w:val="00B33315"/>
    <w:rsid w:val="00B4314E"/>
    <w:rsid w:val="00B43E27"/>
    <w:rsid w:val="00B47F22"/>
    <w:rsid w:val="00B6057E"/>
    <w:rsid w:val="00B7102C"/>
    <w:rsid w:val="00B73F06"/>
    <w:rsid w:val="00B84BD0"/>
    <w:rsid w:val="00BB16F4"/>
    <w:rsid w:val="00BD7B10"/>
    <w:rsid w:val="00BE0732"/>
    <w:rsid w:val="00BE5966"/>
    <w:rsid w:val="00BF2C81"/>
    <w:rsid w:val="00C04641"/>
    <w:rsid w:val="00C07544"/>
    <w:rsid w:val="00C15AE1"/>
    <w:rsid w:val="00C305A9"/>
    <w:rsid w:val="00C36F18"/>
    <w:rsid w:val="00C7667A"/>
    <w:rsid w:val="00C838C1"/>
    <w:rsid w:val="00C86853"/>
    <w:rsid w:val="00C92BC2"/>
    <w:rsid w:val="00C96FC3"/>
    <w:rsid w:val="00CA3FAA"/>
    <w:rsid w:val="00CA45F7"/>
    <w:rsid w:val="00CA51EE"/>
    <w:rsid w:val="00CA5C97"/>
    <w:rsid w:val="00CA64C3"/>
    <w:rsid w:val="00CB29E9"/>
    <w:rsid w:val="00CB756E"/>
    <w:rsid w:val="00CC1462"/>
    <w:rsid w:val="00CE73D8"/>
    <w:rsid w:val="00CF7094"/>
    <w:rsid w:val="00D02F03"/>
    <w:rsid w:val="00D23D07"/>
    <w:rsid w:val="00D42A30"/>
    <w:rsid w:val="00D44960"/>
    <w:rsid w:val="00D50F09"/>
    <w:rsid w:val="00D5753F"/>
    <w:rsid w:val="00D725DE"/>
    <w:rsid w:val="00D80B10"/>
    <w:rsid w:val="00DA4212"/>
    <w:rsid w:val="00DB5560"/>
    <w:rsid w:val="00DC082B"/>
    <w:rsid w:val="00DC5303"/>
    <w:rsid w:val="00DD0976"/>
    <w:rsid w:val="00DD3E94"/>
    <w:rsid w:val="00DE00F5"/>
    <w:rsid w:val="00DF48D3"/>
    <w:rsid w:val="00DF68A6"/>
    <w:rsid w:val="00E00AD9"/>
    <w:rsid w:val="00E11B0A"/>
    <w:rsid w:val="00E12093"/>
    <w:rsid w:val="00E16B7F"/>
    <w:rsid w:val="00E32D65"/>
    <w:rsid w:val="00E44989"/>
    <w:rsid w:val="00E55761"/>
    <w:rsid w:val="00EA46C1"/>
    <w:rsid w:val="00EC71E5"/>
    <w:rsid w:val="00ED191E"/>
    <w:rsid w:val="00ED60CC"/>
    <w:rsid w:val="00EE0F73"/>
    <w:rsid w:val="00EF6D32"/>
    <w:rsid w:val="00F04AD0"/>
    <w:rsid w:val="00F0538D"/>
    <w:rsid w:val="00F142AD"/>
    <w:rsid w:val="00F236AE"/>
    <w:rsid w:val="00F272D3"/>
    <w:rsid w:val="00F2782B"/>
    <w:rsid w:val="00F33F41"/>
    <w:rsid w:val="00F37128"/>
    <w:rsid w:val="00F416B1"/>
    <w:rsid w:val="00F44C1E"/>
    <w:rsid w:val="00F66904"/>
    <w:rsid w:val="00F72A94"/>
    <w:rsid w:val="00F8474C"/>
    <w:rsid w:val="00F95E3E"/>
    <w:rsid w:val="00FA27DD"/>
    <w:rsid w:val="00FB0F25"/>
    <w:rsid w:val="00FB21EC"/>
    <w:rsid w:val="00FB29DF"/>
    <w:rsid w:val="00FB7319"/>
    <w:rsid w:val="00FC1C2A"/>
    <w:rsid w:val="00FC393B"/>
    <w:rsid w:val="00FD4ECD"/>
    <w:rsid w:val="00FD5729"/>
    <w:rsid w:val="00FE6ED1"/>
    <w:rsid w:val="00FE75FD"/>
    <w:rsid w:val="00FF416B"/>
    <w:rsid w:val="00FF420F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B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D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4498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449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4F1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1">
    <w:name w:val="Основной текст (2)_"/>
    <w:link w:val="22"/>
    <w:rsid w:val="00473A4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3A4D"/>
    <w:pPr>
      <w:widowControl w:val="0"/>
      <w:shd w:val="clear" w:color="auto" w:fill="FFFFFF"/>
      <w:spacing w:before="240" w:after="0" w:line="230" w:lineRule="exact"/>
    </w:pPr>
    <w:rPr>
      <w:sz w:val="19"/>
      <w:szCs w:val="19"/>
    </w:rPr>
  </w:style>
  <w:style w:type="character" w:customStyle="1" w:styleId="ConsPlusNormal0">
    <w:name w:val="ConsPlusNormal Знак"/>
    <w:link w:val="ConsPlusNormal"/>
    <w:locked/>
    <w:rsid w:val="008E2441"/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39"/>
    <w:rsid w:val="008E244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B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D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4498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449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4F1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1">
    <w:name w:val="Основной текст (2)_"/>
    <w:link w:val="22"/>
    <w:rsid w:val="00473A4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3A4D"/>
    <w:pPr>
      <w:widowControl w:val="0"/>
      <w:shd w:val="clear" w:color="auto" w:fill="FFFFFF"/>
      <w:spacing w:before="240" w:after="0" w:line="230" w:lineRule="exact"/>
    </w:pPr>
    <w:rPr>
      <w:sz w:val="19"/>
      <w:szCs w:val="19"/>
    </w:rPr>
  </w:style>
  <w:style w:type="character" w:customStyle="1" w:styleId="ConsPlusNormal0">
    <w:name w:val="ConsPlusNormal Знак"/>
    <w:link w:val="ConsPlusNormal"/>
    <w:locked/>
    <w:rsid w:val="008E2441"/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39"/>
    <w:rsid w:val="008E244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9F09B929F4EBDE582CF2A44A4E5C1169DD3E6B72DBD7F71A2839A970ABD36E373C61C9489F2CABD42D2062C859545EE78E0FA8BFAB2436EG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9F09B929F4EBDE582CF2A44A4E5C1169DD3E6B72DBD7F71A2839A970ABD36E373C61C9489F7CDBC42D2062C859545EE78E0FA8BFAB2436EG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9F09B929F4EBDE582CF2A44A4E5C1169DD3E6B72DBD7F71A2839A970ABD36E373C61E958EF5C5EB18C20265D29159E666FFF895F96BGBD" TargetMode="External"/><Relationship Id="rId5" Type="http://schemas.openxmlformats.org/officeDocument/2006/relationships/hyperlink" Target="consultantplus://offline/ref=BE6E9593E95EC61CC62CF8CA0E57BDE0608A21F93EF3E4CF46591ED8C905EC04A3BA3F782B489C6A180A42B80618EA6EAFF83293ED8A307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Orlova</dc:creator>
  <cp:lastModifiedBy>Tatyana Orlova</cp:lastModifiedBy>
  <cp:revision>17</cp:revision>
  <dcterms:created xsi:type="dcterms:W3CDTF">2020-03-23T04:19:00Z</dcterms:created>
  <dcterms:modified xsi:type="dcterms:W3CDTF">2020-03-27T06:13:00Z</dcterms:modified>
</cp:coreProperties>
</file>